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12.xml" ContentType="application/vnd.ms-office.chartcolorstyle+xml"/>
  <Override PartName="/word/charts/colors13.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12.xml" ContentType="application/vnd.ms-office.chartstyle+xml"/>
  <Override PartName="/word/charts/style13.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0"/>
          <w:tab w:val="clear" w:pos="9072"/>
        </w:tabs>
        <w:rPr>
          <w:rFonts w:eastAsia="宋体"/>
          <w:bCs/>
          <w:sz w:val="24"/>
          <w:szCs w:val="24"/>
          <w:lang w:val="en-US" w:eastAsia="zh-CN"/>
        </w:rPr>
      </w:pPr>
      <w:bookmarkStart w:id="0" w:name="OLE_LINK1"/>
      <w:bookmarkStart w:id="1" w:name="OLE_LINK2"/>
      <w:r>
        <w:rPr>
          <w:rFonts w:hint="eastAsia" w:eastAsia="Times New Roman"/>
          <w:bCs/>
          <w:sz w:val="24"/>
          <w:szCs w:val="24"/>
          <w:lang w:val="en-US" w:eastAsia="zh-CN"/>
        </w:rPr>
        <w:t>3GPP TSG RAN WG1 Ad-Hoc Meeting 1901</w:t>
      </w:r>
      <w:r>
        <w:rPr>
          <w:rFonts w:eastAsia="Times New Roman"/>
          <w:bCs/>
          <w:sz w:val="24"/>
          <w:szCs w:val="24"/>
          <w:lang w:val="en-US" w:eastAsia="zh-CN"/>
        </w:rPr>
        <w:t xml:space="preserve">          </w:t>
      </w:r>
      <w:r>
        <w:rPr>
          <w:rFonts w:hint="eastAsia" w:eastAsia="Times New Roman"/>
          <w:bCs/>
          <w:sz w:val="24"/>
          <w:szCs w:val="24"/>
          <w:lang w:val="en-US" w:eastAsia="zh-CN"/>
        </w:rPr>
        <w:t xml:space="preserve">    </w:t>
      </w:r>
      <w:r>
        <w:rPr>
          <w:rFonts w:eastAsia="Times New Roman"/>
          <w:bCs/>
          <w:sz w:val="24"/>
          <w:szCs w:val="24"/>
          <w:lang w:val="en-US" w:eastAsia="zh-CN"/>
        </w:rPr>
        <w:t xml:space="preserve">            </w:t>
      </w:r>
      <w:r>
        <w:rPr>
          <w:rFonts w:hint="eastAsia" w:eastAsia="Times New Roman"/>
          <w:bCs/>
          <w:sz w:val="24"/>
          <w:szCs w:val="24"/>
          <w:lang w:val="en-US" w:eastAsia="zh-CN"/>
        </w:rPr>
        <w:t xml:space="preserve"> </w:t>
      </w:r>
      <w:r>
        <w:rPr>
          <w:rFonts w:eastAsia="Times New Roman"/>
          <w:bCs/>
          <w:sz w:val="24"/>
          <w:szCs w:val="24"/>
          <w:lang w:val="en-US" w:eastAsia="zh-CN"/>
        </w:rPr>
        <w:t xml:space="preserve">   R1</w:t>
      </w:r>
      <w:r>
        <w:rPr>
          <w:rFonts w:hint="eastAsia" w:eastAsia="Times New Roman"/>
          <w:bCs/>
          <w:sz w:val="24"/>
          <w:szCs w:val="24"/>
          <w:lang w:val="en-US" w:eastAsia="zh-CN"/>
        </w:rPr>
        <w:t>-</w:t>
      </w:r>
      <w:r>
        <w:rPr>
          <w:rFonts w:hint="eastAsia" w:eastAsia="Times New Roman"/>
          <w:bCs/>
          <w:sz w:val="24"/>
          <w:szCs w:val="24"/>
          <w:lang w:val="en-US" w:eastAsia="zh-CN"/>
        </w:rPr>
        <w:t>190</w:t>
      </w:r>
      <w:r>
        <w:rPr>
          <w:rFonts w:hint="eastAsia" w:ascii="Times New Roman" w:hAnsi="Times New Roman" w:eastAsia="Times New Roman" w:cs="Times New Roman"/>
          <w:b/>
          <w:bCs/>
          <w:i w:val="0"/>
          <w:caps w:val="0"/>
          <w:color w:val="000000"/>
          <w:spacing w:val="0"/>
          <w:sz w:val="24"/>
          <w:szCs w:val="24"/>
          <w:shd w:val="clear"/>
          <w:lang w:val="en-US" w:eastAsia="zh-CN"/>
        </w:rPr>
        <w:t>1282</w:t>
      </w:r>
    </w:p>
    <w:p>
      <w:pPr>
        <w:pStyle w:val="121"/>
        <w:rPr>
          <w:sz w:val="24"/>
          <w:szCs w:val="24"/>
          <w:lang w:val="en-US"/>
        </w:rPr>
      </w:pPr>
      <w:r>
        <w:rPr>
          <w:sz w:val="24"/>
          <w:szCs w:val="24"/>
          <w:lang w:val="en-US"/>
        </w:rPr>
        <w:t>Taipei</w:t>
      </w:r>
      <w:r>
        <w:rPr>
          <w:rFonts w:eastAsia="宋体"/>
          <w:b/>
          <w:sz w:val="22"/>
          <w:szCs w:val="22"/>
          <w:lang w:val="sv-SE" w:eastAsia="zh-CN"/>
        </w:rPr>
        <w:t xml:space="preserve">, </w:t>
      </w:r>
      <w:r>
        <w:rPr>
          <w:rFonts w:hint="eastAsia" w:eastAsia="宋体"/>
          <w:b/>
          <w:sz w:val="22"/>
          <w:szCs w:val="22"/>
          <w:lang w:val="en-US" w:eastAsia="zh-CN"/>
        </w:rPr>
        <w:t>21</w:t>
      </w:r>
      <w:r>
        <w:rPr>
          <w:rFonts w:hint="eastAsia" w:eastAsia="宋体"/>
          <w:b/>
          <w:sz w:val="22"/>
          <w:szCs w:val="22"/>
          <w:vertAlign w:val="superscript"/>
          <w:lang w:val="en-US" w:eastAsia="zh-CN"/>
        </w:rPr>
        <w:t>st</w:t>
      </w:r>
      <w:r>
        <w:rPr>
          <w:rFonts w:hint="eastAsia" w:eastAsia="宋体"/>
          <w:b/>
          <w:sz w:val="22"/>
          <w:szCs w:val="22"/>
          <w:lang w:val="en-US" w:eastAsia="zh-CN"/>
        </w:rPr>
        <w:t xml:space="preserve"> - 25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January,</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121"/>
        <w:rPr>
          <w:sz w:val="24"/>
          <w:szCs w:val="24"/>
          <w:lang w:val="en-US"/>
        </w:rPr>
      </w:pPr>
    </w:p>
    <w:p>
      <w:pPr>
        <w:pStyle w:val="121"/>
        <w:ind w:left="1553" w:hanging="1553"/>
        <w:rPr>
          <w:rFonts w:eastAsia="宋体"/>
          <w:sz w:val="24"/>
          <w:szCs w:val="24"/>
          <w:lang w:val="en-US" w:eastAsia="zh-CN"/>
        </w:rPr>
      </w:pPr>
      <w:r>
        <w:rPr>
          <w:sz w:val="24"/>
          <w:szCs w:val="24"/>
          <w:lang w:val="en-US"/>
        </w:rPr>
        <w:t xml:space="preserve">Source: </w:t>
      </w:r>
      <w:r>
        <w:rPr>
          <w:rFonts w:hint="eastAsia" w:eastAsia="宋体"/>
          <w:sz w:val="24"/>
          <w:szCs w:val="24"/>
          <w:lang w:val="en-US" w:eastAsia="zh-CN"/>
        </w:rPr>
        <w:t xml:space="preserve">     </w:t>
      </w:r>
      <w:r>
        <w:rPr>
          <w:rFonts w:eastAsia="宋体"/>
          <w:sz w:val="24"/>
          <w:szCs w:val="24"/>
          <w:lang w:val="en-US" w:eastAsia="zh-CN"/>
        </w:rPr>
        <w:t>ZTE</w:t>
      </w:r>
    </w:p>
    <w:p>
      <w:pPr>
        <w:pStyle w:val="121"/>
        <w:ind w:left="1553" w:hanging="1553"/>
        <w:rPr>
          <w:rFonts w:eastAsia="宋体"/>
          <w:sz w:val="24"/>
          <w:szCs w:val="24"/>
          <w:lang w:val="en-US" w:eastAsia="zh-CN"/>
        </w:rPr>
      </w:pPr>
      <w:r>
        <w:rPr>
          <w:sz w:val="24"/>
          <w:szCs w:val="24"/>
          <w:lang w:val="en-US"/>
        </w:rPr>
        <w:t>Title:</w:t>
      </w:r>
      <w:r>
        <w:rPr>
          <w:rFonts w:eastAsia="宋体"/>
          <w:sz w:val="24"/>
          <w:szCs w:val="24"/>
          <w:lang w:val="en-US" w:eastAsia="zh-CN"/>
        </w:rPr>
        <w:t xml:space="preserve"> </w:t>
      </w:r>
      <w:r>
        <w:rPr>
          <w:rFonts w:hint="eastAsia" w:eastAsia="宋体"/>
          <w:sz w:val="24"/>
          <w:szCs w:val="24"/>
          <w:lang w:val="en-US" w:eastAsia="zh-CN"/>
        </w:rPr>
        <w:t xml:space="preserve">       </w:t>
      </w:r>
      <w:r>
        <w:rPr>
          <w:sz w:val="24"/>
          <w:szCs w:val="24"/>
          <w:lang w:val="en-US"/>
        </w:rPr>
        <w:t>Evaluation results of UE power saving</w:t>
      </w:r>
      <w:r>
        <w:rPr>
          <w:sz w:val="24"/>
          <w:szCs w:val="24"/>
          <w:lang w:val="en-US" w:eastAsia="zh-CN"/>
        </w:rPr>
        <w:t xml:space="preserve">   </w:t>
      </w:r>
      <w:r>
        <w:rPr>
          <w:rFonts w:hint="eastAsia"/>
          <w:sz w:val="24"/>
          <w:szCs w:val="24"/>
          <w:lang w:val="en-US" w:eastAsia="zh-CN"/>
        </w:rPr>
        <w:t xml:space="preserve">   </w:t>
      </w:r>
      <w:r>
        <w:rPr>
          <w:sz w:val="24"/>
          <w:szCs w:val="24"/>
          <w:lang w:val="en-US"/>
        </w:rPr>
        <w:tab/>
      </w:r>
    </w:p>
    <w:p>
      <w:pPr>
        <w:pStyle w:val="121"/>
        <w:ind w:left="1553" w:hanging="1553"/>
        <w:rPr>
          <w:rFonts w:eastAsia="宋体"/>
          <w:sz w:val="24"/>
          <w:szCs w:val="24"/>
          <w:lang w:val="en-US" w:eastAsia="zh-CN"/>
        </w:rPr>
      </w:pPr>
      <w:r>
        <w:rPr>
          <w:sz w:val="24"/>
          <w:szCs w:val="24"/>
          <w:lang w:val="en-US"/>
        </w:rPr>
        <w:t>Agenda Item:</w:t>
      </w:r>
      <w:r>
        <w:rPr>
          <w:sz w:val="24"/>
          <w:szCs w:val="24"/>
          <w:lang w:val="en-US"/>
        </w:rPr>
        <w:tab/>
      </w:r>
      <w:r>
        <w:rPr>
          <w:rFonts w:eastAsia="宋体"/>
          <w:sz w:val="24"/>
          <w:szCs w:val="24"/>
          <w:lang w:val="en-US" w:eastAsia="zh-CN"/>
        </w:rPr>
        <w:t>7.2.9.1</w:t>
      </w:r>
    </w:p>
    <w:p>
      <w:pPr>
        <w:pStyle w:val="121"/>
        <w:ind w:left="1553" w:hanging="1553"/>
        <w:rPr>
          <w:sz w:val="24"/>
          <w:szCs w:val="24"/>
          <w:lang w:val="en-US"/>
        </w:rPr>
      </w:pPr>
      <w:r>
        <w:rPr>
          <w:sz w:val="24"/>
          <w:szCs w:val="24"/>
          <w:lang w:val="en-US"/>
        </w:rPr>
        <w:t>Document for:</w:t>
      </w:r>
      <w:r>
        <w:rPr>
          <w:sz w:val="24"/>
          <w:szCs w:val="24"/>
          <w:lang w:val="en-US"/>
        </w:rPr>
        <w:tab/>
      </w:r>
      <w:r>
        <w:rPr>
          <w:rFonts w:eastAsia="宋体"/>
          <w:sz w:val="24"/>
          <w:szCs w:val="24"/>
          <w:lang w:val="en-US" w:eastAsia="zh-CN"/>
        </w:rPr>
        <w:t>Discussion</w:t>
      </w:r>
      <w:r>
        <w:rPr>
          <w:sz w:val="24"/>
          <w:szCs w:val="24"/>
        </w:rPr>
        <w:t>/Decision</w:t>
      </w:r>
      <w:bookmarkStart w:id="19" w:name="_GoBack"/>
      <w:bookmarkEnd w:id="19"/>
    </w:p>
    <w:bookmarkEnd w:id="0"/>
    <w:bookmarkEnd w:id="1"/>
    <w:p>
      <w:pPr>
        <w:pStyle w:val="2"/>
        <w:numPr>
          <w:ilvl w:val="0"/>
          <w:numId w:val="6"/>
        </w:numPr>
        <w:textAlignment w:val="auto"/>
        <w:rPr>
          <w:rFonts w:ascii="Times New Roman" w:hAnsi="Times New Roman"/>
          <w:b/>
          <w:bCs/>
          <w:sz w:val="28"/>
          <w:szCs w:val="28"/>
          <w:lang w:val="en-US"/>
        </w:rPr>
      </w:pPr>
      <w:bookmarkStart w:id="2" w:name="_Ref298777854"/>
      <w:r>
        <w:rPr>
          <w:rFonts w:ascii="Times New Roman" w:hAnsi="Times New Roman"/>
          <w:b/>
          <w:bCs/>
          <w:sz w:val="28"/>
          <w:szCs w:val="28"/>
          <w:lang w:val="en-US"/>
        </w:rPr>
        <w:t>Introduction</w:t>
      </w:r>
      <w:bookmarkEnd w:id="2"/>
    </w:p>
    <w:p>
      <w:pPr>
        <w:snapToGrid w:val="0"/>
        <w:spacing w:before="120" w:after="120" w:afterLines="50" w:line="240" w:lineRule="auto"/>
        <w:jc w:val="both"/>
        <w:rPr>
          <w:rFonts w:eastAsia="微软雅黑"/>
          <w:lang w:val="en-US" w:eastAsia="zh-CN"/>
        </w:rPr>
      </w:pPr>
      <w:r>
        <w:rPr>
          <w:rFonts w:eastAsia="微软雅黑"/>
          <w:lang w:val="en-US" w:eastAsia="zh-CN"/>
        </w:rPr>
        <w:t>In RAN1</w:t>
      </w:r>
      <w:r>
        <w:rPr>
          <w:rFonts w:hint="eastAsia" w:eastAsia="微软雅黑"/>
          <w:lang w:val="en-US" w:eastAsia="zh-CN"/>
        </w:rPr>
        <w:t xml:space="preserve"> </w:t>
      </w:r>
      <w:r>
        <w:rPr>
          <w:rFonts w:eastAsia="微软雅黑"/>
          <w:lang w:val="en-US" w:eastAsia="zh-CN"/>
        </w:rPr>
        <w:t>#</w:t>
      </w:r>
      <w:r>
        <w:rPr>
          <w:rFonts w:hint="eastAsia" w:eastAsia="微软雅黑"/>
          <w:lang w:val="en-US" w:eastAsia="zh-CN"/>
        </w:rPr>
        <w:t>95</w:t>
      </w:r>
      <w:r>
        <w:rPr>
          <w:rFonts w:eastAsia="微软雅黑"/>
          <w:lang w:val="en-US" w:eastAsia="zh-CN"/>
        </w:rPr>
        <w:t>, the following agreements are reached[1].</w:t>
      </w:r>
    </w:p>
    <w:p>
      <w:pPr>
        <w:snapToGrid w:val="0"/>
        <w:spacing w:line="260" w:lineRule="auto"/>
      </w:pPr>
      <w:r>
        <w:rPr>
          <w:highlight w:val="green"/>
          <w:lang w:eastAsia="zh-CN"/>
        </w:rPr>
        <w:t>Agreements</w:t>
      </w:r>
      <w:r>
        <w:rPr>
          <w:b/>
          <w:lang w:eastAsia="zh-CN"/>
        </w:rPr>
        <w:t xml:space="preserve">: </w:t>
      </w:r>
      <w:r>
        <w:t>RAN1 to study further following:</w:t>
      </w:r>
    </w:p>
    <w:p>
      <w:pPr>
        <w:pStyle w:val="117"/>
        <w:numPr>
          <w:ilvl w:val="1"/>
          <w:numId w:val="7"/>
        </w:numPr>
        <w:overflowPunct/>
        <w:autoSpaceDE/>
        <w:autoSpaceDN/>
        <w:adjustRightInd/>
        <w:snapToGrid w:val="0"/>
        <w:spacing w:after="0" w:line="260" w:lineRule="auto"/>
        <w:ind w:left="648" w:firstLine="400"/>
      </w:pPr>
      <w:r>
        <w:t xml:space="preserve">UE switching to micro sleep after PDCCH reception </w:t>
      </w:r>
    </w:p>
    <w:p>
      <w:pPr>
        <w:pStyle w:val="117"/>
        <w:numPr>
          <w:ilvl w:val="1"/>
          <w:numId w:val="8"/>
        </w:numPr>
        <w:overflowPunct/>
        <w:autoSpaceDE/>
        <w:autoSpaceDN/>
        <w:adjustRightInd/>
        <w:snapToGrid w:val="0"/>
        <w:spacing w:after="0" w:line="260" w:lineRule="auto"/>
        <w:ind w:left="1080" w:firstLine="400"/>
      </w:pPr>
      <w:r>
        <w:rPr>
          <w:u w:val="single"/>
        </w:rPr>
        <w:t xml:space="preserve">Cross-slot scheduling </w:t>
      </w:r>
      <w:r>
        <w:t xml:space="preserve">   </w:t>
      </w:r>
    </w:p>
    <w:p>
      <w:pPr>
        <w:pStyle w:val="117"/>
        <w:numPr>
          <w:ilvl w:val="2"/>
          <w:numId w:val="8"/>
        </w:numPr>
        <w:overflowPunct/>
        <w:autoSpaceDE/>
        <w:autoSpaceDN/>
        <w:adjustRightInd/>
        <w:snapToGrid w:val="0"/>
        <w:spacing w:after="0" w:line="260" w:lineRule="auto"/>
        <w:ind w:left="1800" w:firstLine="400"/>
      </w:pPr>
      <w:r>
        <w:t xml:space="preserve"> Minimum K0 &gt; 0 and aperiodic CSI-RS triggering offset is not within the duration - UE could switch to micro sleep right away after PDCCH reception – no addition PDSCH and CSI-RS signals reception within the given duration (e.g. the same slot)</w:t>
      </w:r>
    </w:p>
    <w:p>
      <w:pPr>
        <w:pStyle w:val="117"/>
        <w:numPr>
          <w:ilvl w:val="3"/>
          <w:numId w:val="8"/>
        </w:numPr>
        <w:overflowPunct/>
        <w:autoSpaceDE/>
        <w:autoSpaceDN/>
        <w:adjustRightInd/>
        <w:snapToGrid w:val="0"/>
        <w:spacing w:after="0" w:line="260" w:lineRule="auto"/>
        <w:ind w:left="2520" w:firstLine="400"/>
      </w:pPr>
      <w:r>
        <w:t>It is known to the UE at PDCCH decoding</w:t>
      </w:r>
    </w:p>
    <w:p>
      <w:pPr>
        <w:pStyle w:val="117"/>
        <w:numPr>
          <w:ilvl w:val="3"/>
          <w:numId w:val="8"/>
        </w:numPr>
        <w:overflowPunct/>
        <w:autoSpaceDE/>
        <w:autoSpaceDN/>
        <w:adjustRightInd/>
        <w:snapToGrid w:val="0"/>
        <w:spacing w:after="0" w:line="260" w:lineRule="auto"/>
        <w:ind w:left="2520" w:firstLine="400"/>
      </w:pPr>
      <w:r>
        <w:t xml:space="preserve">Extended micro sleep time and reduce the PDCCH processing in reducing UE power consumption </w:t>
      </w:r>
    </w:p>
    <w:p>
      <w:pPr>
        <w:pStyle w:val="117"/>
        <w:numPr>
          <w:ilvl w:val="3"/>
          <w:numId w:val="8"/>
        </w:numPr>
        <w:overflowPunct/>
        <w:autoSpaceDE/>
        <w:autoSpaceDN/>
        <w:adjustRightInd/>
        <w:snapToGrid w:val="0"/>
        <w:spacing w:after="0" w:line="260" w:lineRule="auto"/>
        <w:ind w:left="2520" w:firstLine="400"/>
      </w:pPr>
      <w:r>
        <w:t xml:space="preserve">FFS: whether minimum K2 &gt; 0 is essential to avoid the requirements of fast PDCCH processing </w:t>
      </w:r>
    </w:p>
    <w:p>
      <w:pPr>
        <w:pStyle w:val="117"/>
        <w:numPr>
          <w:ilvl w:val="1"/>
          <w:numId w:val="7"/>
        </w:numPr>
        <w:overflowPunct/>
        <w:autoSpaceDE/>
        <w:autoSpaceDN/>
        <w:adjustRightInd/>
        <w:snapToGrid w:val="0"/>
        <w:spacing w:after="0" w:line="260" w:lineRule="auto"/>
        <w:ind w:left="648" w:firstLine="400"/>
      </w:pPr>
      <w:r>
        <w:t>Multi-slot scheduling – PDCCH decoding in one slot (e.g., one DCI, multiple DCI) supports scheduled PDSCH/PUSCH transmission over multiple slots.</w:t>
      </w:r>
    </w:p>
    <w:p>
      <w:pPr>
        <w:pStyle w:val="117"/>
        <w:numPr>
          <w:ilvl w:val="2"/>
          <w:numId w:val="9"/>
        </w:numPr>
        <w:overflowPunct/>
        <w:autoSpaceDE/>
        <w:autoSpaceDN/>
        <w:adjustRightInd/>
        <w:snapToGrid w:val="0"/>
        <w:spacing w:after="0" w:line="260" w:lineRule="auto"/>
        <w:ind w:firstLine="400"/>
      </w:pPr>
      <w:r>
        <w:t>Achieving UE power consumption reduction by potentially skipping PDCCH monitoring at subsequent slots of PDSCH/PUSCH transmission.</w:t>
      </w:r>
    </w:p>
    <w:p>
      <w:pPr>
        <w:snapToGrid w:val="0"/>
        <w:spacing w:line="260" w:lineRule="auto"/>
        <w:rPr>
          <w:b/>
          <w:lang w:eastAsia="zh-CN"/>
        </w:rPr>
      </w:pPr>
      <w:r>
        <w:rPr>
          <w:highlight w:val="green"/>
          <w:lang w:eastAsia="zh-CN"/>
        </w:rPr>
        <w:t>Agreements</w:t>
      </w:r>
      <w:r>
        <w:rPr>
          <w:b/>
          <w:lang w:eastAsia="zh-CN"/>
        </w:rPr>
        <w:t>:</w:t>
      </w:r>
    </w:p>
    <w:p>
      <w:pPr>
        <w:snapToGrid w:val="0"/>
        <w:spacing w:after="60" w:line="260" w:lineRule="auto"/>
        <w:rPr>
          <w:b/>
          <w:u w:val="single"/>
        </w:rPr>
      </w:pPr>
      <w:r>
        <w:t>For power saving scheme with UE adaptation to the DRX operation for further study</w:t>
      </w:r>
    </w:p>
    <w:p>
      <w:pPr>
        <w:pStyle w:val="117"/>
        <w:numPr>
          <w:ilvl w:val="0"/>
          <w:numId w:val="10"/>
        </w:numPr>
        <w:snapToGrid w:val="0"/>
        <w:spacing w:after="60" w:line="260" w:lineRule="auto"/>
        <w:ind w:firstLine="400"/>
      </w:pPr>
      <w:r>
        <w:t>UE adaptation of its behavior to the DRX operation for UE power consumption reduction</w:t>
      </w:r>
    </w:p>
    <w:p>
      <w:pPr>
        <w:pStyle w:val="117"/>
        <w:numPr>
          <w:ilvl w:val="1"/>
          <w:numId w:val="10"/>
        </w:numPr>
        <w:snapToGrid w:val="0"/>
        <w:spacing w:after="60" w:line="260" w:lineRule="auto"/>
        <w:ind w:firstLine="400"/>
      </w:pPr>
      <w:r>
        <w:t>Power saving signal as the signal for the indication whether to wakeup or not before or at the beginning of DRX ON duration</w:t>
      </w:r>
    </w:p>
    <w:p>
      <w:pPr>
        <w:pStyle w:val="117"/>
        <w:numPr>
          <w:ilvl w:val="2"/>
          <w:numId w:val="10"/>
        </w:numPr>
        <w:snapToGrid w:val="0"/>
        <w:spacing w:after="60" w:line="260" w:lineRule="auto"/>
        <w:ind w:firstLine="400"/>
      </w:pPr>
      <w:r>
        <w:rPr>
          <w:rFonts w:eastAsia="DengXian"/>
          <w:lang w:eastAsia="zh-CN"/>
        </w:rPr>
        <w:t>At least for the i</w:t>
      </w:r>
      <w:r>
        <w:rPr>
          <w:rFonts w:hint="eastAsia" w:eastAsia="DengXian"/>
          <w:lang w:eastAsia="zh-CN"/>
        </w:rPr>
        <w:t>n</w:t>
      </w:r>
      <w:r>
        <w:rPr>
          <w:rFonts w:eastAsia="DengXian"/>
          <w:lang w:eastAsia="zh-CN"/>
        </w:rPr>
        <w:t>dication of PDCCH monitoring</w:t>
      </w:r>
    </w:p>
    <w:p>
      <w:pPr>
        <w:pStyle w:val="117"/>
        <w:numPr>
          <w:ilvl w:val="1"/>
          <w:numId w:val="10"/>
        </w:numPr>
        <w:snapToGrid w:val="0"/>
        <w:spacing w:after="60" w:line="260" w:lineRule="auto"/>
        <w:ind w:firstLine="400"/>
      </w:pPr>
      <w:r>
        <w:t xml:space="preserve">Preparation period in advance of DRX ON, e.g., to perform channel tracking, CSI measurements, beam tracking, in preparation for the PDCCH decoding </w:t>
      </w:r>
    </w:p>
    <w:p>
      <w:pPr>
        <w:pStyle w:val="117"/>
        <w:numPr>
          <w:ilvl w:val="1"/>
          <w:numId w:val="10"/>
        </w:numPr>
        <w:snapToGrid w:val="0"/>
        <w:spacing w:after="60" w:line="260" w:lineRule="auto"/>
        <w:ind w:firstLine="400"/>
      </w:pPr>
      <w:r>
        <w:t>Go-to-sleep signaling as the indication allowing UE going back to sleep state</w:t>
      </w:r>
    </w:p>
    <w:p>
      <w:pPr>
        <w:pStyle w:val="117"/>
        <w:numPr>
          <w:ilvl w:val="1"/>
          <w:numId w:val="10"/>
        </w:numPr>
        <w:snapToGrid w:val="0"/>
        <w:spacing w:after="60" w:line="260" w:lineRule="auto"/>
        <w:ind w:firstLine="400"/>
      </w:pPr>
      <w:r>
        <w:t>Constraints on scheduling DCI during DRX_ON</w:t>
      </w:r>
    </w:p>
    <w:p>
      <w:pPr>
        <w:pStyle w:val="117"/>
        <w:numPr>
          <w:ilvl w:val="0"/>
          <w:numId w:val="10"/>
        </w:numPr>
        <w:snapToGrid w:val="0"/>
        <w:spacing w:after="60" w:line="260" w:lineRule="auto"/>
        <w:ind w:firstLine="400"/>
      </w:pPr>
      <w:r>
        <w:t>Dynamic DRX configuration – parameters could be dynamic adapted to the traffic arrival</w:t>
      </w:r>
    </w:p>
    <w:p>
      <w:pPr>
        <w:pStyle w:val="117"/>
        <w:numPr>
          <w:ilvl w:val="1"/>
          <w:numId w:val="10"/>
        </w:numPr>
        <w:snapToGrid w:val="0"/>
        <w:spacing w:after="60" w:line="260" w:lineRule="auto"/>
        <w:ind w:firstLine="400"/>
      </w:pPr>
      <w:r>
        <w:t>Dynamic selection of DRX configuration from multiple DRX configurations to adapt to the traffic arrival</w:t>
      </w:r>
    </w:p>
    <w:p>
      <w:pPr>
        <w:pStyle w:val="117"/>
        <w:numPr>
          <w:ilvl w:val="1"/>
          <w:numId w:val="10"/>
        </w:numPr>
        <w:snapToGrid w:val="0"/>
        <w:spacing w:after="60" w:line="260" w:lineRule="auto"/>
        <w:ind w:firstLine="400"/>
      </w:pPr>
      <w:r>
        <w:t xml:space="preserve">Adaptive parameters setting of one DRX configuration </w:t>
      </w:r>
    </w:p>
    <w:p>
      <w:pPr>
        <w:snapToGrid w:val="0"/>
        <w:spacing w:line="260" w:lineRule="auto"/>
        <w:rPr>
          <w:lang w:eastAsia="zh-CN"/>
        </w:rPr>
      </w:pPr>
      <w:r>
        <w:rPr>
          <w:highlight w:val="green"/>
          <w:lang w:eastAsia="zh-CN"/>
        </w:rPr>
        <w:t>Agreements</w:t>
      </w:r>
      <w:r>
        <w:rPr>
          <w:lang w:eastAsia="zh-CN"/>
        </w:rPr>
        <w:t>:</w:t>
      </w:r>
    </w:p>
    <w:p>
      <w:pPr>
        <w:snapToGrid w:val="0"/>
        <w:spacing w:line="260" w:lineRule="auto"/>
      </w:pPr>
      <w:r>
        <w:t xml:space="preserve">The UE power power saving schemes for the UE adaptation in frequency domain for further study are as follows, </w:t>
      </w:r>
    </w:p>
    <w:p>
      <w:pPr>
        <w:pStyle w:val="117"/>
        <w:numPr>
          <w:ilvl w:val="0"/>
          <w:numId w:val="11"/>
        </w:numPr>
        <w:overflowPunct/>
        <w:autoSpaceDE/>
        <w:autoSpaceDN/>
        <w:adjustRightInd/>
        <w:snapToGrid w:val="0"/>
        <w:spacing w:after="0" w:line="260" w:lineRule="auto"/>
        <w:ind w:firstLine="400"/>
      </w:pPr>
      <w:r>
        <w:t>BWP -  UE adaptation to different BWP</w:t>
      </w:r>
    </w:p>
    <w:p>
      <w:pPr>
        <w:pStyle w:val="117"/>
        <w:numPr>
          <w:ilvl w:val="1"/>
          <w:numId w:val="11"/>
        </w:numPr>
        <w:overflowPunct/>
        <w:autoSpaceDE/>
        <w:autoSpaceDN/>
        <w:adjustRightInd/>
        <w:snapToGrid w:val="0"/>
        <w:spacing w:after="0" w:line="260" w:lineRule="auto"/>
        <w:ind w:firstLine="400"/>
      </w:pPr>
      <w:r>
        <w:t xml:space="preserve">RS to assist UE channel tracking and measurements to assist BWP switching  </w:t>
      </w:r>
    </w:p>
    <w:p>
      <w:pPr>
        <w:pStyle w:val="117"/>
        <w:numPr>
          <w:ilvl w:val="1"/>
          <w:numId w:val="11"/>
        </w:numPr>
        <w:overflowPunct/>
        <w:autoSpaceDE/>
        <w:autoSpaceDN/>
        <w:adjustRightInd/>
        <w:snapToGrid w:val="0"/>
        <w:spacing w:after="0" w:line="260" w:lineRule="auto"/>
        <w:ind w:firstLine="400"/>
      </w:pPr>
      <w:r>
        <w:t>Enhancement of L1 signaling, e.g., power saving signal or DCI for power saving, in triggering the BWP switching</w:t>
      </w:r>
    </w:p>
    <w:p>
      <w:pPr>
        <w:pStyle w:val="117"/>
        <w:numPr>
          <w:ilvl w:val="1"/>
          <w:numId w:val="11"/>
        </w:numPr>
        <w:overflowPunct/>
        <w:autoSpaceDE/>
        <w:autoSpaceDN/>
        <w:adjustRightInd/>
        <w:snapToGrid w:val="0"/>
        <w:spacing w:after="0" w:line="260" w:lineRule="auto"/>
        <w:ind w:firstLine="400"/>
      </w:pPr>
      <w:r>
        <w:t>Association of BWP and DRX configuration</w:t>
      </w:r>
    </w:p>
    <w:p>
      <w:pPr>
        <w:snapToGrid w:val="0"/>
        <w:spacing w:line="260" w:lineRule="auto"/>
        <w:rPr>
          <w:sz w:val="21"/>
          <w:szCs w:val="21"/>
          <w:lang w:val="en-US"/>
        </w:rPr>
      </w:pPr>
      <w:r>
        <w:rPr>
          <w:sz w:val="21"/>
          <w:szCs w:val="21"/>
          <w:highlight w:val="green"/>
          <w:lang w:val="en-US"/>
        </w:rPr>
        <w:t>Agreements:</w:t>
      </w:r>
    </w:p>
    <w:p>
      <w:pPr>
        <w:snapToGrid w:val="0"/>
        <w:spacing w:line="260" w:lineRule="auto"/>
      </w:pPr>
      <w:r>
        <w:t>The power saving signal/channel for UE adaptation includes the following signals/channels for further study</w:t>
      </w:r>
    </w:p>
    <w:p>
      <w:pPr>
        <w:pStyle w:val="117"/>
        <w:numPr>
          <w:ilvl w:val="0"/>
          <w:numId w:val="12"/>
        </w:numPr>
        <w:snapToGrid w:val="0"/>
        <w:spacing w:after="0" w:line="260" w:lineRule="auto"/>
        <w:ind w:left="720" w:firstLine="400"/>
      </w:pPr>
      <w:r>
        <w:t>Existing signal/channel based power saving signal/channel</w:t>
      </w:r>
    </w:p>
    <w:p>
      <w:pPr>
        <w:pStyle w:val="117"/>
        <w:numPr>
          <w:ilvl w:val="1"/>
          <w:numId w:val="12"/>
        </w:numPr>
        <w:snapToGrid w:val="0"/>
        <w:spacing w:after="0" w:line="260" w:lineRule="auto"/>
        <w:ind w:left="1440" w:firstLine="400"/>
      </w:pPr>
      <w:r>
        <w:t xml:space="preserve"> PDCCH channel</w:t>
      </w:r>
    </w:p>
    <w:p>
      <w:pPr>
        <w:pStyle w:val="117"/>
        <w:numPr>
          <w:ilvl w:val="1"/>
          <w:numId w:val="12"/>
        </w:numPr>
        <w:snapToGrid w:val="0"/>
        <w:spacing w:after="0" w:line="260" w:lineRule="auto"/>
        <w:ind w:left="1440" w:firstLine="400"/>
      </w:pPr>
      <w:r>
        <w:t>TRS, CSI-RS type  RS, SSS-like and DMRS</w:t>
      </w:r>
    </w:p>
    <w:p>
      <w:pPr>
        <w:pStyle w:val="117"/>
        <w:numPr>
          <w:ilvl w:val="1"/>
          <w:numId w:val="12"/>
        </w:numPr>
        <w:snapToGrid w:val="0"/>
        <w:spacing w:after="0" w:line="260" w:lineRule="auto"/>
        <w:ind w:left="1440" w:firstLine="400"/>
      </w:pPr>
      <w:r>
        <w:t>PDSCH channel carried MAC CE and/or RRC signaling</w:t>
      </w:r>
    </w:p>
    <w:p>
      <w:pPr>
        <w:pStyle w:val="117"/>
        <w:numPr>
          <w:ilvl w:val="0"/>
          <w:numId w:val="12"/>
        </w:numPr>
        <w:snapToGrid w:val="0"/>
        <w:spacing w:after="0" w:line="260" w:lineRule="auto"/>
        <w:ind w:left="720" w:firstLine="400"/>
        <w:rPr>
          <w:rFonts w:eastAsia="微软雅黑"/>
          <w:lang w:val="en-US" w:eastAsia="zh-CN"/>
        </w:rPr>
      </w:pPr>
      <w:r>
        <w:t xml:space="preserve">New power saving signal/channel – sequence based </w:t>
      </w:r>
    </w:p>
    <w:p>
      <w:pPr>
        <w:pStyle w:val="117"/>
        <w:snapToGrid w:val="0"/>
        <w:spacing w:line="260" w:lineRule="auto"/>
        <w:ind w:firstLine="0" w:firstLineChars="0"/>
        <w:rPr>
          <w:rFonts w:eastAsia="微软雅黑"/>
          <w:lang w:val="en-US" w:eastAsia="zh-CN"/>
        </w:rPr>
      </w:pPr>
      <w:r>
        <w:rPr>
          <w:rFonts w:hint="eastAsia" w:eastAsia="MS Mincho"/>
        </w:rPr>
        <w:t xml:space="preserve">In this </w:t>
      </w:r>
      <w:r>
        <w:rPr>
          <w:rFonts w:hint="eastAsia"/>
          <w:lang w:val="en-US" w:eastAsia="zh-CN"/>
        </w:rPr>
        <w:t>contribution</w:t>
      </w:r>
      <w:r>
        <w:rPr>
          <w:rFonts w:hint="eastAsia" w:eastAsia="MS Mincho"/>
        </w:rPr>
        <w:t>, some</w:t>
      </w:r>
      <w:r>
        <w:rPr>
          <w:rFonts w:hint="eastAsia"/>
          <w:lang w:val="en-US" w:eastAsia="zh-CN"/>
        </w:rPr>
        <w:t xml:space="preserve"> preliminary evaluation results of several schemes</w:t>
      </w:r>
      <w:r>
        <w:rPr>
          <w:rFonts w:hint="eastAsia" w:eastAsia="MS Mincho"/>
        </w:rPr>
        <w:t xml:space="preserve"> are provided.</w:t>
      </w:r>
    </w:p>
    <w:p>
      <w:pPr>
        <w:pStyle w:val="2"/>
        <w:numPr>
          <w:ilvl w:val="0"/>
          <w:numId w:val="6"/>
        </w:numPr>
        <w:textAlignment w:val="auto"/>
        <w:rPr>
          <w:rFonts w:ascii="Times New Roman" w:hAnsi="Times New Roman"/>
          <w:b/>
          <w:sz w:val="28"/>
          <w:szCs w:val="28"/>
          <w:lang w:val="en-US" w:eastAsia="zh-CN"/>
        </w:rPr>
      </w:pPr>
      <w:r>
        <w:rPr>
          <w:rFonts w:ascii="Times New Roman" w:hAnsi="Times New Roman"/>
          <w:b/>
          <w:sz w:val="28"/>
          <w:szCs w:val="28"/>
          <w:lang w:val="en-US" w:eastAsia="zh-CN"/>
        </w:rPr>
        <w:t xml:space="preserve">Modeling and preliminary results </w:t>
      </w:r>
    </w:p>
    <w:p>
      <w:pPr>
        <w:jc w:val="both"/>
        <w:rPr>
          <w:b/>
          <w:bCs/>
          <w:lang w:eastAsia="en-US" w:bidi="ar"/>
        </w:rPr>
      </w:pPr>
      <w:r>
        <w:t>The following simplif</w:t>
      </w:r>
      <w:r>
        <w:rPr>
          <w:rFonts w:hint="eastAsia"/>
          <w:lang w:val="en-US" w:eastAsia="zh-CN"/>
        </w:rPr>
        <w:t>ied</w:t>
      </w:r>
      <w:r>
        <w:t xml:space="preserve"> assumptions are made</w:t>
      </w:r>
      <w:r>
        <w:rPr>
          <w:rFonts w:hint="eastAsia"/>
          <w:lang w:val="en-US" w:eastAsia="zh-CN"/>
        </w:rPr>
        <w:t xml:space="preserve"> for evaluation unless otherwise stated</w:t>
      </w:r>
      <w:r>
        <w:t>: Power modelling reference configuration for FR1</w:t>
      </w:r>
      <w:r>
        <w:rPr>
          <w:rFonts w:hint="eastAsia"/>
          <w:lang w:eastAsia="zh-CN"/>
        </w:rPr>
        <w:t>,</w:t>
      </w:r>
      <w:r>
        <w:t xml:space="preserve"> </w:t>
      </w:r>
      <w:r>
        <w:rPr>
          <w:rFonts w:hint="eastAsia"/>
          <w:lang w:val="en-US" w:eastAsia="zh-CN"/>
        </w:rPr>
        <w:t>p</w:t>
      </w:r>
      <w:r>
        <w:t xml:space="preserve">eak throughput, 100MHz DL BWP, 10-symbol PDSCH (one symbol occupied by DMRS), capable of carrying 868584 information bits per slot. All packets can be successfully decoded on the first transmission, i.e., No HARQ retransmission. It’s further assumed that no UL slot , Single user and short DRX is not configured. </w:t>
      </w:r>
    </w:p>
    <w:p>
      <w:pPr>
        <w:pStyle w:val="3"/>
        <w:numPr>
          <w:ilvl w:val="1"/>
          <w:numId w:val="6"/>
        </w:numPr>
        <w:tabs>
          <w:tab w:val="left" w:pos="432"/>
        </w:tabs>
        <w:jc w:val="both"/>
        <w:rPr>
          <w:b/>
          <w:sz w:val="24"/>
          <w:szCs w:val="24"/>
          <w:lang w:val="en-US" w:eastAsia="zh-CN"/>
        </w:rPr>
      </w:pPr>
      <w:r>
        <w:rPr>
          <w:rFonts w:hint="eastAsia"/>
          <w:b/>
          <w:sz w:val="24"/>
          <w:szCs w:val="24"/>
          <w:lang w:val="en-US" w:eastAsia="zh-CN"/>
        </w:rPr>
        <w:t>Cross-slot scheduling and multi-slot scheduling</w:t>
      </w:r>
    </w:p>
    <w:p>
      <w:pPr>
        <w:spacing w:after="120" w:line="260" w:lineRule="auto"/>
        <w:jc w:val="both"/>
        <w:textAlignment w:val="baseline"/>
        <w:rPr>
          <w:highlight w:val="none"/>
          <w:lang w:val="en-US" w:eastAsia="zh-CN" w:bidi="ar"/>
        </w:rPr>
      </w:pPr>
      <w:r>
        <w:rPr>
          <w:rFonts w:hint="eastAsia"/>
          <w:lang w:val="en-US" w:eastAsia="zh-CN" w:bidi="ar"/>
        </w:rPr>
        <w:t xml:space="preserve">In this section, </w:t>
      </w:r>
      <w:r>
        <w:rPr>
          <w:rFonts w:hint="eastAsia"/>
          <w:lang w:val="en-US" w:eastAsia="zh-CN"/>
        </w:rPr>
        <w:t xml:space="preserve">simulation </w:t>
      </w:r>
      <w:r>
        <w:rPr>
          <w:rFonts w:hint="eastAsia"/>
          <w:lang w:val="en-US" w:eastAsia="zh-CN" w:bidi="ar"/>
        </w:rPr>
        <w:t xml:space="preserve">results for cross-slot scheduling and multi-slot scheduling are provided. We assume one packet is divided into several consecutive packets to transmission, and the number of consecutive packets is 2, 3 and 4. FTP model 3(mean inter-arrival time 200msec) is used in this </w:t>
      </w:r>
      <w:r>
        <w:rPr>
          <w:rFonts w:hint="eastAsia"/>
          <w:lang w:val="en-US" w:eastAsia="zh-CN"/>
        </w:rPr>
        <w:t>simulation</w:t>
      </w:r>
      <w:r>
        <w:rPr>
          <w:rFonts w:hint="eastAsia"/>
          <w:lang w:val="en-US" w:eastAsia="zh-CN" w:bidi="ar"/>
        </w:rPr>
        <w:t>. For multi-slot scheduling, PDCCH decoding in one slot supports scheduled PDSCH transmission over multiple sl</w:t>
      </w:r>
      <w:r>
        <w:rPr>
          <w:rFonts w:hint="eastAsia"/>
          <w:highlight w:val="none"/>
          <w:lang w:val="en-US" w:eastAsia="zh-CN" w:bidi="ar"/>
        </w:rPr>
        <w:t xml:space="preserve">ots skipping PDCCH monitoring at subsequent slots of PDSCH transmission. For cross-slot scheduling, K0 is set to 1. We assume there will cause little latency when K0=1. </w:t>
      </w:r>
      <w:r>
        <w:rPr>
          <w:rFonts w:hint="eastAsia"/>
          <w:highlight w:val="none"/>
          <w:lang w:val="en-US" w:eastAsia="zh-CN"/>
        </w:rPr>
        <w:t xml:space="preserve">Simulation </w:t>
      </w:r>
      <w:r>
        <w:rPr>
          <w:rFonts w:hint="eastAsia"/>
          <w:highlight w:val="none"/>
          <w:lang w:val="en-US" w:eastAsia="zh-CN" w:bidi="ar"/>
        </w:rPr>
        <w:t xml:space="preserve">results are shown in Figure 1. The CDRX configuration </w:t>
      </w:r>
      <w:r>
        <w:rPr>
          <w:rFonts w:hint="eastAsia"/>
          <w:highlight w:val="none"/>
          <w:lang w:val="en-US" w:eastAsia="zh-CN"/>
        </w:rPr>
        <w:t xml:space="preserve">is represented as </w:t>
      </w:r>
      <w:r>
        <w:rPr>
          <w:highlight w:val="none"/>
          <w:lang w:val="en-US" w:eastAsia="zh-CN"/>
        </w:rPr>
        <w:t>“</w:t>
      </w:r>
      <w:r>
        <w:rPr>
          <w:rFonts w:hint="eastAsia"/>
          <w:highlight w:val="none"/>
          <w:lang w:val="en-US" w:eastAsia="zh-CN"/>
        </w:rPr>
        <w:t xml:space="preserve"> CDRX cycle period - Inactivity timer - ON duration</w:t>
      </w:r>
      <w:r>
        <w:rPr>
          <w:highlight w:val="none"/>
          <w:lang w:val="en-US" w:eastAsia="zh-CN"/>
        </w:rPr>
        <w:t>”</w:t>
      </w:r>
      <w:r>
        <w:rPr>
          <w:rFonts w:hint="eastAsia"/>
          <w:highlight w:val="none"/>
          <w:lang w:val="en-US" w:eastAsia="zh-CN"/>
        </w:rPr>
        <w:t xml:space="preserve"> (The following representation method is the same.).</w:t>
      </w:r>
      <w:r>
        <w:rPr>
          <w:rFonts w:hint="eastAsia"/>
          <w:highlight w:val="none"/>
          <w:lang w:val="en-US" w:eastAsia="zh-CN" w:bidi="ar"/>
        </w:rPr>
        <w:t xml:space="preserve"> More </w:t>
      </w:r>
      <w:r>
        <w:rPr>
          <w:rFonts w:hint="eastAsia"/>
          <w:highlight w:val="none"/>
          <w:lang w:val="en-US" w:eastAsia="zh-CN"/>
        </w:rPr>
        <w:t xml:space="preserve">simulation </w:t>
      </w:r>
      <w:r>
        <w:rPr>
          <w:rFonts w:hint="eastAsia"/>
          <w:highlight w:val="none"/>
          <w:lang w:val="en-US" w:eastAsia="zh-CN" w:bidi="ar"/>
        </w:rPr>
        <w:t>results are shown in Appendix B. Details of simulation assumptions are shown in Appendix A.</w:t>
      </w:r>
    </w:p>
    <w:p>
      <w:pPr>
        <w:spacing w:after="120" w:line="260" w:lineRule="auto"/>
        <w:jc w:val="center"/>
        <w:textAlignment w:val="baseline"/>
      </w:pPr>
      <w:r>
        <w:rPr>
          <w:lang w:val="en-US" w:eastAsia="zh-CN"/>
        </w:rPr>
        <w:drawing>
          <wp:inline distT="0" distB="0" distL="114300" distR="114300">
            <wp:extent cx="3436620" cy="2527300"/>
            <wp:effectExtent l="4445" t="4445" r="6985" b="2095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after="120" w:line="260" w:lineRule="auto"/>
        <w:jc w:val="center"/>
        <w:textAlignment w:val="baseline"/>
        <w:rPr>
          <w:lang w:val="en-US" w:eastAsia="zh-CN"/>
        </w:rPr>
      </w:pPr>
      <w:r>
        <w:rPr>
          <w:rFonts w:hint="eastAsia"/>
          <w:lang w:val="en-US" w:eastAsia="zh-CN"/>
        </w:rPr>
        <w:t>Figure 1 Simulation of cross-slot scheduling and multi-slot scheduling</w:t>
      </w:r>
    </w:p>
    <w:p>
      <w:pPr>
        <w:spacing w:after="60"/>
        <w:jc w:val="both"/>
        <w:textAlignment w:val="baseline"/>
        <w:rPr>
          <w:lang w:val="en-US" w:eastAsia="zh-CN" w:bidi="ar"/>
        </w:rPr>
      </w:pPr>
      <w:r>
        <w:rPr>
          <w:rFonts w:hint="eastAsia"/>
          <w:lang w:val="en-US" w:eastAsia="zh-CN"/>
        </w:rPr>
        <w:t xml:space="preserve">Y-axis shows the average power consumption of 1 slot(total power/total slot). Based on the simulation results, </w:t>
      </w:r>
      <w:r>
        <w:rPr>
          <w:lang w:val="en-US" w:eastAsia="zh-CN" w:bidi="ar"/>
        </w:rPr>
        <w:t>we can draw the following observation</w:t>
      </w:r>
      <w:r>
        <w:rPr>
          <w:rFonts w:hint="eastAsia"/>
          <w:lang w:val="en-US" w:eastAsia="zh-CN" w:bidi="ar"/>
        </w:rPr>
        <w:t xml:space="preserve"> and proposal</w:t>
      </w:r>
      <w:r>
        <w:rPr>
          <w:lang w:val="en-US" w:eastAsia="zh-CN" w:bidi="ar"/>
        </w:rPr>
        <w:t>.</w:t>
      </w:r>
    </w:p>
    <w:p>
      <w:pPr>
        <w:spacing w:after="60"/>
        <w:jc w:val="both"/>
        <w:textAlignment w:val="baseline"/>
        <w:rPr>
          <w:b/>
          <w:bCs/>
          <w:lang w:val="en-US" w:eastAsia="zh-CN" w:bidi="ar"/>
        </w:rPr>
      </w:pPr>
      <w:r>
        <w:rPr>
          <w:rFonts w:hint="eastAsia"/>
          <w:b/>
          <w:bCs/>
          <w:lang w:val="en-US" w:eastAsia="zh-CN" w:bidi="ar"/>
        </w:rPr>
        <w:t>Observation 1: Multi-slot scheduling has low power saving performance and cross-slot scheduling has better power saving gain.</w:t>
      </w:r>
    </w:p>
    <w:p>
      <w:pPr>
        <w:spacing w:after="60"/>
        <w:jc w:val="both"/>
        <w:textAlignment w:val="baseline"/>
        <w:rPr>
          <w:b/>
          <w:bCs/>
          <w:lang w:val="en-US" w:eastAsia="zh-CN" w:bidi="ar"/>
        </w:rPr>
      </w:pPr>
      <w:r>
        <w:rPr>
          <w:rFonts w:hint="eastAsia"/>
          <w:b/>
          <w:bCs/>
          <w:lang w:val="en-US" w:eastAsia="zh-CN" w:bidi="ar"/>
        </w:rPr>
        <w:t>Proposal 1: Cross-slot scheduling can be considered for UE power saving.</w:t>
      </w:r>
    </w:p>
    <w:p>
      <w:pPr>
        <w:pStyle w:val="3"/>
        <w:numPr>
          <w:ilvl w:val="1"/>
          <w:numId w:val="6"/>
        </w:numPr>
        <w:tabs>
          <w:tab w:val="left" w:pos="432"/>
        </w:tabs>
        <w:jc w:val="both"/>
        <w:rPr>
          <w:b/>
          <w:sz w:val="24"/>
          <w:szCs w:val="24"/>
          <w:lang w:val="en-US" w:eastAsia="zh-CN"/>
        </w:rPr>
      </w:pPr>
      <w:r>
        <w:rPr>
          <w:rFonts w:hint="eastAsia"/>
          <w:b/>
          <w:sz w:val="24"/>
          <w:szCs w:val="24"/>
          <w:lang w:val="en-US" w:eastAsia="zh-CN"/>
        </w:rPr>
        <w:t>Evaluation for DRX configuration</w:t>
      </w:r>
    </w:p>
    <w:p>
      <w:pPr>
        <w:spacing w:after="60"/>
        <w:jc w:val="both"/>
        <w:textAlignment w:val="baseline"/>
        <w:rPr>
          <w:b/>
          <w:bCs/>
          <w:lang w:val="en-US" w:eastAsia="zh-CN" w:bidi="ar"/>
        </w:rPr>
      </w:pPr>
      <w:r>
        <w:rPr>
          <w:rFonts w:hint="eastAsia"/>
          <w:sz w:val="20"/>
          <w:szCs w:val="20"/>
          <w:lang w:val="en-US" w:eastAsia="zh-CN"/>
        </w:rPr>
        <w:t>CDRX configuration include 3 parameters. We studied these three parameters. FTP model 3</w:t>
      </w:r>
      <w:r>
        <w:rPr>
          <w:rFonts w:hint="eastAsia"/>
          <w:lang w:val="en-US" w:eastAsia="zh-CN" w:bidi="ar"/>
        </w:rPr>
        <w:t xml:space="preserve">(0.1 Mbytes packet size, mean inter-arrival time 200msec) </w:t>
      </w:r>
      <w:r>
        <w:rPr>
          <w:rFonts w:hint="eastAsia"/>
          <w:sz w:val="20"/>
          <w:szCs w:val="20"/>
          <w:lang w:val="en-US" w:eastAsia="zh-CN"/>
        </w:rPr>
        <w:t xml:space="preserve">is used in these simulation. </w:t>
      </w:r>
    </w:p>
    <w:p>
      <w:pPr>
        <w:spacing w:after="60"/>
        <w:jc w:val="both"/>
        <w:textAlignment w:val="baseline"/>
        <w:rPr>
          <w:b/>
          <w:bCs/>
          <w:lang w:val="en-US" w:eastAsia="zh-CN" w:bidi="ar"/>
        </w:rPr>
      </w:pPr>
      <w:r>
        <w:rPr>
          <w:rFonts w:hint="eastAsia"/>
          <w:b/>
          <w:bCs/>
          <w:lang w:val="en-US" w:eastAsia="zh-CN" w:bidi="ar"/>
        </w:rPr>
        <w:t>Observation 2: The configuration of inactivity timer and on duration time have great impact on UE power saving gain. Power consumption increase a lot with the increase of inactivity timer and on duration time.</w:t>
      </w:r>
    </w:p>
    <w:p>
      <w:pPr>
        <w:spacing w:after="60" w:line="260" w:lineRule="auto"/>
        <w:jc w:val="both"/>
        <w:textAlignment w:val="baseline"/>
        <w:rPr>
          <w:b/>
          <w:bCs/>
          <w:lang w:val="en-US" w:eastAsia="zh-CN" w:bidi="ar"/>
        </w:rPr>
      </w:pPr>
      <w:r>
        <w:rPr>
          <w:rFonts w:hint="eastAsia"/>
          <w:b/>
          <w:bCs/>
          <w:lang w:val="en-US" w:eastAsia="zh-CN" w:bidi="ar"/>
        </w:rPr>
        <w:t>Observation 3: CDRX cycle has great impact on UE power saving gain. Power consumption decreases a lot with the increase of CDRX cycle.</w:t>
      </w:r>
    </w:p>
    <w:p>
      <w:pPr>
        <w:spacing w:after="60" w:line="260" w:lineRule="auto"/>
        <w:jc w:val="center"/>
        <w:textAlignment w:val="baseline"/>
      </w:pPr>
      <w:r>
        <w:rPr>
          <w:lang w:val="en-US" w:eastAsia="zh-CN"/>
        </w:rPr>
        <w:drawing>
          <wp:inline distT="0" distB="0" distL="114300" distR="114300">
            <wp:extent cx="3051175" cy="2834005"/>
            <wp:effectExtent l="4445" t="4445" r="11430" b="1905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lang w:val="en-US" w:eastAsia="zh-CN"/>
        </w:rPr>
        <w:drawing>
          <wp:inline distT="0" distB="0" distL="114300" distR="114300">
            <wp:extent cx="2979420" cy="2882265"/>
            <wp:effectExtent l="4445" t="4445" r="6985" b="8890"/>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lang w:val="en-US" w:eastAsia="zh-CN"/>
        </w:rPr>
        <w:drawing>
          <wp:inline distT="0" distB="0" distL="114300" distR="114300">
            <wp:extent cx="3091180" cy="3008630"/>
            <wp:effectExtent l="4445" t="4445" r="9525" b="15875"/>
            <wp:docPr id="11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lang w:val="en-US" w:eastAsia="zh-CN"/>
        </w:rPr>
      </w:pPr>
      <w:r>
        <w:rPr>
          <w:rFonts w:hint="eastAsia"/>
          <w:lang w:val="en-US" w:eastAsia="zh-CN"/>
        </w:rPr>
        <w:t>Figure 2 Simulation of CDRX configuration</w:t>
      </w:r>
    </w:p>
    <w:p>
      <w:pPr>
        <w:pStyle w:val="3"/>
        <w:numPr>
          <w:ilvl w:val="1"/>
          <w:numId w:val="13"/>
        </w:numPr>
        <w:tabs>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bandwidth</w:t>
      </w:r>
    </w:p>
    <w:p>
      <w:pPr>
        <w:jc w:val="both"/>
        <w:rPr>
          <w:lang w:val="en-US" w:eastAsia="zh-CN"/>
        </w:rPr>
      </w:pPr>
      <w:r>
        <w:rPr>
          <w:rFonts w:hint="eastAsia"/>
          <w:lang w:val="en-US" w:eastAsia="zh-CN"/>
        </w:rPr>
        <w:t>In this simulation, we change the packet size and bandwidth. The results in Figure 3 shows the average power consumption of 1 slot with different packet size in different bandwidth. FTP model 3</w:t>
      </w:r>
      <w:r>
        <w:rPr>
          <w:rFonts w:hint="eastAsia"/>
          <w:lang w:val="en-US" w:eastAsia="zh-CN" w:bidi="ar"/>
        </w:rPr>
        <w:t xml:space="preserve">(0.1 Mbytes packet size, mean inter-arrival time 200msec) </w:t>
      </w:r>
      <w:r>
        <w:rPr>
          <w:rFonts w:hint="eastAsia"/>
          <w:sz w:val="20"/>
          <w:szCs w:val="20"/>
          <w:lang w:val="en-US" w:eastAsia="zh-CN"/>
        </w:rPr>
        <w:t>is used. CDRX cycle is configured 160-100-8.</w:t>
      </w:r>
    </w:p>
    <w:p>
      <w:pPr>
        <w:jc w:val="center"/>
      </w:pPr>
      <w:r>
        <w:rPr>
          <w:lang w:val="en-US" w:eastAsia="zh-CN"/>
        </w:rPr>
        <w:drawing>
          <wp:inline distT="0" distB="0" distL="114300" distR="114300">
            <wp:extent cx="4572000" cy="2743200"/>
            <wp:effectExtent l="4445" t="4445" r="14605" b="14605"/>
            <wp:docPr id="9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lang w:val="en-US" w:eastAsia="zh-CN"/>
        </w:rPr>
      </w:pPr>
      <w:r>
        <w:rPr>
          <w:rFonts w:hint="eastAsia"/>
          <w:lang w:val="en-US" w:eastAsia="zh-CN"/>
        </w:rPr>
        <w:t>Figure 3 Simulation of bandwidth</w:t>
      </w:r>
    </w:p>
    <w:p>
      <w:pPr>
        <w:rPr>
          <w:lang w:val="en-US" w:eastAsia="zh-CN"/>
        </w:rPr>
      </w:pPr>
      <w:r>
        <w:rPr>
          <w:rFonts w:hint="eastAsia"/>
          <w:lang w:val="en-US" w:eastAsia="zh-CN"/>
        </w:rPr>
        <w:t>From the simulation results, we have the following observation. Different size of packet have a different optimal bandwidth, UE power</w:t>
      </w:r>
      <w:r>
        <w:rPr>
          <w:lang w:val="en-US" w:eastAsia="zh-CN"/>
        </w:rPr>
        <w:t xml:space="preserve"> consumption</w:t>
      </w:r>
      <w:r>
        <w:rPr>
          <w:rFonts w:hint="eastAsia"/>
          <w:lang w:val="en-US" w:eastAsia="zh-CN"/>
        </w:rPr>
        <w:t xml:space="preserve"> in this optimal BWP</w:t>
      </w:r>
      <w:r>
        <w:rPr>
          <w:lang w:val="en-US" w:eastAsia="zh-CN"/>
        </w:rPr>
        <w:t xml:space="preserve"> is minimum</w:t>
      </w:r>
      <w:r>
        <w:rPr>
          <w:rFonts w:hint="eastAsia"/>
          <w:lang w:val="en-US" w:eastAsia="zh-CN"/>
        </w:rPr>
        <w:t>.</w:t>
      </w:r>
      <w:r>
        <w:rPr>
          <w:lang w:val="en-US" w:eastAsia="zh-CN"/>
        </w:rPr>
        <w:t xml:space="preserve"> The determination of the optimal BWP does not solely depend on bandwidth of the BWPs.</w:t>
      </w:r>
    </w:p>
    <w:p>
      <w:pPr>
        <w:rPr>
          <w:lang w:val="en-US" w:eastAsia="zh-CN"/>
        </w:rPr>
      </w:pPr>
      <w:r>
        <w:rPr>
          <w:rFonts w:hint="eastAsia"/>
          <w:b/>
          <w:bCs/>
          <w:lang w:val="en-US" w:eastAsia="zh-CN"/>
        </w:rPr>
        <w:t xml:space="preserve">Observation 4: Different sizes of packet have a different optimal </w:t>
      </w:r>
      <w:bookmarkStart w:id="3" w:name="OLE_LINK16"/>
      <w:r>
        <w:rPr>
          <w:rFonts w:hint="eastAsia"/>
          <w:b/>
          <w:bCs/>
          <w:lang w:val="en-US" w:eastAsia="zh-CN"/>
        </w:rPr>
        <w:t>bandwidth</w:t>
      </w:r>
      <w:bookmarkEnd w:id="3"/>
      <w:r>
        <w:rPr>
          <w:rFonts w:hint="eastAsia"/>
          <w:b/>
          <w:bCs/>
          <w:lang w:val="en-US" w:eastAsia="zh-CN"/>
        </w:rPr>
        <w:t>, UE cost a minimum of power in this optimal bandwidth. Small bandwidth has better performance of power saving.</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PDCCH</w:t>
      </w:r>
    </w:p>
    <w:p>
      <w:pPr>
        <w:jc w:val="both"/>
        <w:rPr>
          <w:lang w:val="en-US" w:eastAsia="zh-CN"/>
        </w:rPr>
      </w:pPr>
      <w:r>
        <w:rPr>
          <w:rFonts w:hint="eastAsia"/>
          <w:lang w:val="en-US" w:eastAsia="zh-CN"/>
        </w:rPr>
        <w:t>In this evaluation</w:t>
      </w:r>
      <w:r>
        <w:rPr>
          <w:rFonts w:hint="eastAsia"/>
          <w:sz w:val="20"/>
          <w:szCs w:val="20"/>
          <w:lang w:val="en-US" w:eastAsia="zh-CN"/>
        </w:rPr>
        <w:t xml:space="preserve">, we use search space configuration of PDCCH instead of the configuration of CDRX. The parameter </w:t>
      </w:r>
      <w:r>
        <w:rPr>
          <w:rFonts w:hint="eastAsia"/>
          <w:i/>
          <w:iCs/>
          <w:sz w:val="20"/>
          <w:szCs w:val="20"/>
          <w:lang w:val="en-US" w:eastAsia="zh-CN"/>
        </w:rPr>
        <w:t>monitoringSlotPeriodicityAndOffset</w:t>
      </w:r>
      <w:r>
        <w:rPr>
          <w:rFonts w:hint="eastAsia"/>
          <w:sz w:val="20"/>
          <w:szCs w:val="20"/>
          <w:lang w:val="en-US" w:eastAsia="zh-CN"/>
        </w:rPr>
        <w:t xml:space="preserve"> has a smilar functionality as CDRX cycle, and the parameter duration has a smilar functionality as on duration in CDRX configuration. The difference with CDRX is that </w:t>
      </w:r>
      <w:r>
        <w:rPr>
          <w:rFonts w:hint="eastAsia"/>
          <w:lang w:val="en-US" w:eastAsia="zh-CN"/>
        </w:rPr>
        <w:t xml:space="preserve">once a </w:t>
      </w:r>
      <w:r>
        <w:rPr>
          <w:lang w:eastAsia="zh-CN"/>
        </w:rPr>
        <w:t>DL grant is received during duration</w:t>
      </w:r>
      <w:r>
        <w:rPr>
          <w:rFonts w:hint="eastAsia"/>
          <w:lang w:val="en-US" w:eastAsia="zh-CN"/>
        </w:rPr>
        <w:t>, there is no inactivity timer</w:t>
      </w:r>
      <w:r>
        <w:rPr>
          <w:lang w:eastAsia="zh-CN"/>
        </w:rPr>
        <w:t>.</w:t>
      </w:r>
      <w:r>
        <w:rPr>
          <w:rFonts w:hint="eastAsia"/>
          <w:lang w:val="en-US" w:eastAsia="zh-CN"/>
        </w:rPr>
        <w:t xml:space="preserve"> UE goes to sleep when duration ends</w:t>
      </w:r>
      <w:r>
        <w:rPr>
          <w:lang w:eastAsia="zh-CN"/>
        </w:rPr>
        <w:t>.</w:t>
      </w:r>
      <w:r>
        <w:rPr>
          <w:rFonts w:hint="eastAsia"/>
          <w:lang w:val="en-US" w:eastAsia="zh-CN"/>
        </w:rPr>
        <w:t xml:space="preserve"> </w:t>
      </w:r>
    </w:p>
    <w:p>
      <w:pPr>
        <w:spacing w:after="60"/>
        <w:jc w:val="both"/>
        <w:textAlignment w:val="baseline"/>
        <w:rPr>
          <w:lang w:val="en-US" w:eastAsia="zh-CN"/>
        </w:rPr>
      </w:pPr>
      <w:r>
        <w:rPr>
          <w:rFonts w:hint="eastAsia"/>
          <w:lang w:val="en-US" w:eastAsia="zh-CN"/>
        </w:rPr>
        <w:t>FTP model 3</w:t>
      </w:r>
      <w:r>
        <w:rPr>
          <w:rFonts w:hint="eastAsia"/>
          <w:lang w:val="en-US" w:eastAsia="zh-CN" w:bidi="ar"/>
        </w:rPr>
        <w:t>(0.1 Mbytes packet size, mean inter-arrival time 200msec)</w:t>
      </w:r>
      <w:r>
        <w:rPr>
          <w:rFonts w:hint="eastAsia"/>
          <w:lang w:val="en-US" w:eastAsia="zh-CN"/>
        </w:rPr>
        <w:t xml:space="preserve"> is used. Simulation </w:t>
      </w:r>
      <w:r>
        <w:rPr>
          <w:rFonts w:hint="eastAsia"/>
          <w:lang w:val="en-US" w:eastAsia="zh-CN" w:bidi="ar"/>
        </w:rPr>
        <w:t xml:space="preserve">results are shown in Table 1. </w:t>
      </w:r>
    </w:p>
    <w:p>
      <w:pPr>
        <w:spacing w:after="60"/>
        <w:jc w:val="center"/>
        <w:textAlignment w:val="baseline"/>
        <w:rPr>
          <w:lang w:val="en-US" w:eastAsia="zh-CN"/>
        </w:rPr>
      </w:pPr>
      <w:r>
        <w:rPr>
          <w:rFonts w:hint="eastAsia"/>
          <w:lang w:val="en-US" w:eastAsia="zh-CN"/>
        </w:rPr>
        <w:t>Table 1 Simulation of PDCCH</w:t>
      </w:r>
    </w:p>
    <w:tbl>
      <w:tblPr>
        <w:tblStyle w:val="42"/>
        <w:tblW w:w="8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1034"/>
        <w:gridCol w:w="1034"/>
        <w:gridCol w:w="1034"/>
        <w:gridCol w:w="1051"/>
        <w:gridCol w:w="1051"/>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Average power consumption of 1 slot</w:t>
            </w:r>
          </w:p>
        </w:tc>
        <w:tc>
          <w:tcPr>
            <w:tcW w:w="1034" w:type="dxa"/>
            <w:vAlign w:val="center"/>
          </w:tcPr>
          <w:p>
            <w:pPr>
              <w:widowControl w:val="0"/>
              <w:jc w:val="center"/>
              <w:rPr>
                <w:lang w:val="en-US" w:eastAsia="zh-CN"/>
              </w:rPr>
            </w:pPr>
            <w:r>
              <w:rPr>
                <w:rFonts w:hint="eastAsia"/>
                <w:lang w:val="en-US" w:eastAsia="zh-CN"/>
              </w:rPr>
              <w:t>40-10-4</w:t>
            </w:r>
          </w:p>
        </w:tc>
        <w:tc>
          <w:tcPr>
            <w:tcW w:w="1034" w:type="dxa"/>
            <w:vAlign w:val="center"/>
          </w:tcPr>
          <w:p>
            <w:pPr>
              <w:widowControl w:val="0"/>
              <w:jc w:val="center"/>
              <w:rPr>
                <w:lang w:val="en-US" w:eastAsia="zh-CN"/>
              </w:rPr>
            </w:pPr>
            <w:r>
              <w:rPr>
                <w:rFonts w:hint="eastAsia"/>
                <w:lang w:val="en-US" w:eastAsia="zh-CN"/>
              </w:rPr>
              <w:t>40-25-4</w:t>
            </w:r>
          </w:p>
        </w:tc>
        <w:tc>
          <w:tcPr>
            <w:tcW w:w="1034" w:type="dxa"/>
            <w:vAlign w:val="center"/>
          </w:tcPr>
          <w:p>
            <w:pPr>
              <w:widowControl w:val="0"/>
              <w:jc w:val="center"/>
              <w:rPr>
                <w:lang w:val="en-US" w:eastAsia="zh-CN"/>
              </w:rPr>
            </w:pPr>
            <w:r>
              <w:rPr>
                <w:rFonts w:hint="eastAsia"/>
                <w:lang w:val="en-US" w:eastAsia="zh-CN"/>
              </w:rPr>
              <w:t>160-40-8</w:t>
            </w:r>
          </w:p>
        </w:tc>
        <w:tc>
          <w:tcPr>
            <w:tcW w:w="1051" w:type="dxa"/>
            <w:vAlign w:val="center"/>
          </w:tcPr>
          <w:p>
            <w:pPr>
              <w:widowControl w:val="0"/>
              <w:jc w:val="center"/>
              <w:rPr>
                <w:lang w:val="en-US" w:eastAsia="zh-CN"/>
              </w:rPr>
            </w:pPr>
            <w:r>
              <w:rPr>
                <w:rFonts w:hint="eastAsia"/>
                <w:lang w:val="en-US" w:eastAsia="zh-CN"/>
              </w:rPr>
              <w:t>160-100-8</w:t>
            </w:r>
          </w:p>
        </w:tc>
        <w:tc>
          <w:tcPr>
            <w:tcW w:w="1051" w:type="dxa"/>
            <w:vAlign w:val="center"/>
          </w:tcPr>
          <w:p>
            <w:pPr>
              <w:widowControl w:val="0"/>
              <w:jc w:val="center"/>
              <w:rPr>
                <w:lang w:val="en-US" w:eastAsia="zh-CN"/>
              </w:rPr>
            </w:pPr>
            <w:r>
              <w:rPr>
                <w:rFonts w:hint="eastAsia"/>
                <w:lang w:val="en-US" w:eastAsia="zh-CN"/>
              </w:rPr>
              <w:t>320-80-10</w:t>
            </w:r>
          </w:p>
        </w:tc>
        <w:tc>
          <w:tcPr>
            <w:tcW w:w="1151" w:type="dxa"/>
            <w:vAlign w:val="center"/>
          </w:tcPr>
          <w:p>
            <w:pPr>
              <w:widowControl w:val="0"/>
              <w:jc w:val="center"/>
              <w:rPr>
                <w:lang w:val="en-US" w:eastAsia="zh-CN"/>
              </w:rPr>
            </w:pPr>
            <w:r>
              <w:rPr>
                <w:rFonts w:hint="eastAsia"/>
                <w:lang w:val="en-US" w:eastAsia="zh-CN"/>
              </w:rPr>
              <w:t>320-200-10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Baseline(CDRX)</w:t>
            </w:r>
          </w:p>
        </w:tc>
        <w:tc>
          <w:tcPr>
            <w:tcW w:w="1034" w:type="dxa"/>
            <w:vAlign w:val="center"/>
          </w:tcPr>
          <w:p>
            <w:pPr>
              <w:widowControl w:val="0"/>
              <w:jc w:val="center"/>
              <w:rPr>
                <w:lang w:val="en-US" w:eastAsia="zh-CN"/>
              </w:rPr>
            </w:pPr>
            <w:r>
              <w:rPr>
                <w:rFonts w:hint="eastAsia"/>
                <w:lang w:val="en-US" w:eastAsia="zh-CN"/>
              </w:rPr>
              <w:t>26.25</w:t>
            </w:r>
          </w:p>
        </w:tc>
        <w:tc>
          <w:tcPr>
            <w:tcW w:w="1034" w:type="dxa"/>
            <w:vAlign w:val="center"/>
          </w:tcPr>
          <w:p>
            <w:pPr>
              <w:widowControl w:val="0"/>
              <w:jc w:val="center"/>
              <w:rPr>
                <w:lang w:val="en-US" w:eastAsia="zh-CN"/>
              </w:rPr>
            </w:pPr>
            <w:r>
              <w:rPr>
                <w:rFonts w:hint="eastAsia"/>
                <w:lang w:val="en-US" w:eastAsia="zh-CN"/>
              </w:rPr>
              <w:t>33.87</w:t>
            </w:r>
          </w:p>
        </w:tc>
        <w:tc>
          <w:tcPr>
            <w:tcW w:w="1034" w:type="dxa"/>
            <w:vAlign w:val="center"/>
          </w:tcPr>
          <w:p>
            <w:pPr>
              <w:widowControl w:val="0"/>
              <w:jc w:val="center"/>
              <w:rPr>
                <w:lang w:val="en-US" w:eastAsia="zh-CN"/>
              </w:rPr>
            </w:pPr>
            <w:r>
              <w:rPr>
                <w:rFonts w:hint="eastAsia"/>
                <w:lang w:val="en-US" w:eastAsia="zh-CN"/>
              </w:rPr>
              <w:t>21.01</w:t>
            </w:r>
          </w:p>
        </w:tc>
        <w:tc>
          <w:tcPr>
            <w:tcW w:w="1051" w:type="dxa"/>
            <w:vAlign w:val="center"/>
          </w:tcPr>
          <w:p>
            <w:pPr>
              <w:widowControl w:val="0"/>
              <w:jc w:val="center"/>
              <w:rPr>
                <w:lang w:val="en-US" w:eastAsia="zh-CN"/>
              </w:rPr>
            </w:pPr>
            <w:r>
              <w:rPr>
                <w:rFonts w:hint="eastAsia"/>
                <w:lang w:val="en-US" w:eastAsia="zh-CN"/>
              </w:rPr>
              <w:t>39.49</w:t>
            </w:r>
          </w:p>
        </w:tc>
        <w:tc>
          <w:tcPr>
            <w:tcW w:w="1051" w:type="dxa"/>
            <w:vAlign w:val="center"/>
          </w:tcPr>
          <w:p>
            <w:pPr>
              <w:widowControl w:val="0"/>
              <w:jc w:val="center"/>
              <w:rPr>
                <w:lang w:val="en-US" w:eastAsia="zh-CN"/>
              </w:rPr>
            </w:pPr>
            <w:r>
              <w:rPr>
                <w:rFonts w:hint="eastAsia"/>
                <w:lang w:val="en-US" w:eastAsia="zh-CN"/>
              </w:rPr>
              <w:t>26.52</w:t>
            </w:r>
          </w:p>
        </w:tc>
        <w:tc>
          <w:tcPr>
            <w:tcW w:w="1151" w:type="dxa"/>
            <w:vAlign w:val="center"/>
          </w:tcPr>
          <w:p>
            <w:pPr>
              <w:widowControl w:val="0"/>
              <w:jc w:val="center"/>
              <w:rPr>
                <w:lang w:val="en-US" w:eastAsia="zh-CN"/>
              </w:rPr>
            </w:pPr>
            <w:r>
              <w:rPr>
                <w:rFonts w:hint="eastAsia"/>
                <w:lang w:val="en-US" w:eastAsia="zh-CN"/>
              </w:rPr>
              <w:t>57.27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PDCCH</w:t>
            </w:r>
          </w:p>
        </w:tc>
        <w:tc>
          <w:tcPr>
            <w:tcW w:w="1034" w:type="dxa"/>
            <w:vAlign w:val="center"/>
          </w:tcPr>
          <w:p>
            <w:pPr>
              <w:widowControl w:val="0"/>
              <w:jc w:val="center"/>
              <w:rPr>
                <w:lang w:val="en-US" w:eastAsia="zh-CN"/>
              </w:rPr>
            </w:pPr>
            <w:r>
              <w:rPr>
                <w:rFonts w:hint="eastAsia"/>
                <w:lang w:val="en-US" w:eastAsia="zh-CN"/>
              </w:rPr>
              <w:t>22.38</w:t>
            </w:r>
          </w:p>
        </w:tc>
        <w:tc>
          <w:tcPr>
            <w:tcW w:w="1034" w:type="dxa"/>
            <w:vAlign w:val="center"/>
          </w:tcPr>
          <w:p>
            <w:pPr>
              <w:widowControl w:val="0"/>
              <w:jc w:val="center"/>
              <w:rPr>
                <w:lang w:val="en-US" w:eastAsia="zh-CN"/>
              </w:rPr>
            </w:pPr>
            <w:r>
              <w:rPr>
                <w:rFonts w:hint="eastAsia"/>
                <w:lang w:val="en-US" w:eastAsia="zh-CN"/>
              </w:rPr>
              <w:t>22.38</w:t>
            </w:r>
          </w:p>
        </w:tc>
        <w:tc>
          <w:tcPr>
            <w:tcW w:w="1034" w:type="dxa"/>
            <w:vAlign w:val="center"/>
          </w:tcPr>
          <w:p>
            <w:pPr>
              <w:widowControl w:val="0"/>
              <w:jc w:val="center"/>
              <w:rPr>
                <w:lang w:val="en-US" w:eastAsia="zh-CN"/>
              </w:rPr>
            </w:pPr>
            <w:r>
              <w:rPr>
                <w:rFonts w:hint="eastAsia"/>
                <w:lang w:val="en-US" w:eastAsia="zh-CN"/>
              </w:rPr>
              <w:t>9.32</w:t>
            </w:r>
          </w:p>
        </w:tc>
        <w:tc>
          <w:tcPr>
            <w:tcW w:w="1051" w:type="dxa"/>
            <w:vAlign w:val="center"/>
          </w:tcPr>
          <w:p>
            <w:pPr>
              <w:widowControl w:val="0"/>
              <w:jc w:val="center"/>
              <w:rPr>
                <w:lang w:val="en-US" w:eastAsia="zh-CN"/>
              </w:rPr>
            </w:pPr>
            <w:r>
              <w:rPr>
                <w:rFonts w:hint="eastAsia"/>
                <w:lang w:val="en-US" w:eastAsia="zh-CN"/>
              </w:rPr>
              <w:t>9.32</w:t>
            </w:r>
          </w:p>
        </w:tc>
        <w:tc>
          <w:tcPr>
            <w:tcW w:w="1051" w:type="dxa"/>
            <w:vAlign w:val="center"/>
          </w:tcPr>
          <w:p>
            <w:pPr>
              <w:widowControl w:val="0"/>
              <w:jc w:val="center"/>
              <w:rPr>
                <w:lang w:val="en-US" w:eastAsia="zh-CN"/>
              </w:rPr>
            </w:pPr>
            <w:r>
              <w:rPr>
                <w:rFonts w:hint="eastAsia"/>
                <w:lang w:val="en-US" w:eastAsia="zh-CN"/>
              </w:rPr>
              <w:t>6.14</w:t>
            </w:r>
          </w:p>
        </w:tc>
        <w:tc>
          <w:tcPr>
            <w:tcW w:w="1151" w:type="dxa"/>
            <w:vAlign w:val="center"/>
          </w:tcPr>
          <w:p>
            <w:pPr>
              <w:widowControl w:val="0"/>
              <w:jc w:val="center"/>
              <w:rPr>
                <w:lang w:val="en-US" w:eastAsia="zh-CN"/>
              </w:rPr>
            </w:pPr>
            <w:r>
              <w:rPr>
                <w:rFonts w:hint="eastAsia"/>
                <w:lang w:val="en-US" w:eastAsia="zh-CN"/>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Power saving gain</w:t>
            </w:r>
          </w:p>
        </w:tc>
        <w:tc>
          <w:tcPr>
            <w:tcW w:w="1034" w:type="dxa"/>
            <w:vAlign w:val="center"/>
          </w:tcPr>
          <w:p>
            <w:pPr>
              <w:widowControl w:val="0"/>
              <w:jc w:val="center"/>
              <w:rPr>
                <w:lang w:val="en-US" w:eastAsia="zh-CN"/>
              </w:rPr>
            </w:pPr>
            <w:r>
              <w:rPr>
                <w:rFonts w:hint="eastAsia"/>
                <w:lang w:val="en-US" w:eastAsia="zh-CN"/>
              </w:rPr>
              <w:t>14.75%</w:t>
            </w:r>
          </w:p>
        </w:tc>
        <w:tc>
          <w:tcPr>
            <w:tcW w:w="1034" w:type="dxa"/>
            <w:vAlign w:val="center"/>
          </w:tcPr>
          <w:p>
            <w:pPr>
              <w:widowControl w:val="0"/>
              <w:jc w:val="center"/>
              <w:rPr>
                <w:lang w:val="en-US" w:eastAsia="zh-CN"/>
              </w:rPr>
            </w:pPr>
            <w:r>
              <w:rPr>
                <w:rFonts w:hint="eastAsia"/>
                <w:lang w:val="en-US" w:eastAsia="zh-CN"/>
              </w:rPr>
              <w:t>33.94%</w:t>
            </w:r>
          </w:p>
        </w:tc>
        <w:tc>
          <w:tcPr>
            <w:tcW w:w="1034" w:type="dxa"/>
            <w:vAlign w:val="center"/>
          </w:tcPr>
          <w:p>
            <w:pPr>
              <w:widowControl w:val="0"/>
              <w:jc w:val="center"/>
              <w:rPr>
                <w:lang w:val="en-US" w:eastAsia="zh-CN"/>
              </w:rPr>
            </w:pPr>
            <w:r>
              <w:rPr>
                <w:rFonts w:hint="eastAsia"/>
                <w:lang w:val="en-US" w:eastAsia="zh-CN"/>
              </w:rPr>
              <w:t>55.64%</w:t>
            </w:r>
          </w:p>
        </w:tc>
        <w:tc>
          <w:tcPr>
            <w:tcW w:w="1051" w:type="dxa"/>
            <w:vAlign w:val="center"/>
          </w:tcPr>
          <w:p>
            <w:pPr>
              <w:widowControl w:val="0"/>
              <w:jc w:val="center"/>
              <w:rPr>
                <w:lang w:val="en-US" w:eastAsia="zh-CN"/>
              </w:rPr>
            </w:pPr>
            <w:r>
              <w:rPr>
                <w:rFonts w:hint="eastAsia"/>
                <w:lang w:val="en-US" w:eastAsia="zh-CN"/>
              </w:rPr>
              <w:t>76.40%</w:t>
            </w:r>
          </w:p>
        </w:tc>
        <w:tc>
          <w:tcPr>
            <w:tcW w:w="1051" w:type="dxa"/>
            <w:vAlign w:val="center"/>
          </w:tcPr>
          <w:p>
            <w:pPr>
              <w:widowControl w:val="0"/>
              <w:jc w:val="center"/>
              <w:rPr>
                <w:lang w:val="en-US" w:eastAsia="zh-CN"/>
              </w:rPr>
            </w:pPr>
            <w:r>
              <w:rPr>
                <w:rFonts w:hint="eastAsia"/>
                <w:lang w:val="en-US" w:eastAsia="zh-CN"/>
              </w:rPr>
              <w:t>76.83%</w:t>
            </w:r>
          </w:p>
        </w:tc>
        <w:tc>
          <w:tcPr>
            <w:tcW w:w="1151" w:type="dxa"/>
            <w:vAlign w:val="center"/>
          </w:tcPr>
          <w:p>
            <w:pPr>
              <w:widowControl w:val="0"/>
              <w:jc w:val="center"/>
              <w:rPr>
                <w:lang w:val="en-US" w:eastAsia="zh-CN"/>
              </w:rPr>
            </w:pPr>
            <w:r>
              <w:rPr>
                <w:rFonts w:hint="eastAsia"/>
                <w:lang w:val="en-US" w:eastAsia="zh-CN"/>
              </w:rPr>
              <w:t>89.27%</w:t>
            </w:r>
          </w:p>
        </w:tc>
      </w:tr>
    </w:tbl>
    <w:p>
      <w:pPr>
        <w:spacing w:after="60"/>
        <w:jc w:val="both"/>
        <w:textAlignment w:val="baseline"/>
        <w:rPr>
          <w:rFonts w:hint="eastAsia"/>
          <w:sz w:val="20"/>
          <w:szCs w:val="20"/>
          <w:lang w:val="en-US" w:eastAsia="zh-CN"/>
        </w:rPr>
      </w:pPr>
    </w:p>
    <w:p>
      <w:pPr>
        <w:spacing w:after="60"/>
        <w:jc w:val="both"/>
        <w:textAlignment w:val="baseline"/>
        <w:rPr>
          <w:sz w:val="20"/>
          <w:szCs w:val="20"/>
          <w:lang w:val="en-US" w:eastAsia="zh-CN"/>
        </w:rPr>
      </w:pPr>
      <w:r>
        <w:rPr>
          <w:rFonts w:hint="eastAsia"/>
          <w:sz w:val="20"/>
          <w:szCs w:val="20"/>
          <w:lang w:val="en-US" w:eastAsia="zh-CN"/>
        </w:rPr>
        <w:t>From the simulation results, using PDCCH search space can save a lot of power consumption due to not start an inactivity timer after a DL grant is received. We can use a more dynamic configuration of PDCCH search space to fit the traffic model and reduce latency better.</w:t>
      </w:r>
    </w:p>
    <w:p>
      <w:pPr>
        <w:spacing w:after="60"/>
        <w:jc w:val="both"/>
        <w:textAlignment w:val="baseline"/>
        <w:rPr>
          <w:b/>
          <w:bCs/>
          <w:sz w:val="20"/>
          <w:szCs w:val="20"/>
          <w:lang w:val="en-US" w:eastAsia="zh-CN"/>
        </w:rPr>
      </w:pPr>
      <w:r>
        <w:rPr>
          <w:rFonts w:hint="eastAsia"/>
          <w:b/>
          <w:bCs/>
          <w:sz w:val="20"/>
          <w:szCs w:val="20"/>
          <w:lang w:val="en-US" w:eastAsia="zh-CN"/>
        </w:rPr>
        <w:t>Observation 5: Using PDCCH search space instead of CDRX can have a better power saving gain.</w:t>
      </w:r>
    </w:p>
    <w:p>
      <w:pPr>
        <w:spacing w:after="60"/>
        <w:jc w:val="both"/>
        <w:textAlignment w:val="baseline"/>
        <w:rPr>
          <w:b/>
          <w:bCs/>
          <w:sz w:val="20"/>
          <w:szCs w:val="20"/>
          <w:lang w:val="en-US" w:eastAsia="zh-CN"/>
        </w:rPr>
      </w:pPr>
      <w:r>
        <w:rPr>
          <w:rFonts w:hint="eastAsia"/>
          <w:b/>
          <w:bCs/>
          <w:sz w:val="20"/>
          <w:szCs w:val="20"/>
          <w:lang w:val="en-US" w:eastAsia="zh-CN"/>
        </w:rPr>
        <w:t>Proposal 2:  Enhancement on PDCCH search space can be further studied.</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antenna domain</w:t>
      </w:r>
    </w:p>
    <w:p>
      <w:pPr>
        <w:spacing w:after="60"/>
        <w:jc w:val="both"/>
        <w:textAlignment w:val="baseline"/>
        <w:rPr>
          <w:lang w:val="en-US" w:eastAsia="zh-CN" w:bidi="ar"/>
        </w:rPr>
      </w:pPr>
      <w:r>
        <w:rPr>
          <w:rFonts w:hint="eastAsia"/>
          <w:sz w:val="20"/>
          <w:szCs w:val="20"/>
          <w:lang w:val="en-US" w:eastAsia="zh-CN"/>
        </w:rPr>
        <w:t>Four antennas are used in normal configuration. We assume UE tur</w:t>
      </w:r>
      <w:r>
        <w:rPr>
          <w:sz w:val="20"/>
          <w:szCs w:val="20"/>
          <w:lang w:val="en-US" w:eastAsia="zh-CN"/>
        </w:rPr>
        <w:t>ns off</w:t>
      </w:r>
      <w:r>
        <w:rPr>
          <w:rFonts w:hint="eastAsia"/>
          <w:sz w:val="20"/>
          <w:szCs w:val="20"/>
          <w:lang w:val="en-US" w:eastAsia="zh-CN"/>
        </w:rPr>
        <w:t xml:space="preserve"> some antennas with a certain probability in the process of sending and receiving data</w:t>
      </w:r>
      <w:r>
        <w:rPr>
          <w:rFonts w:hint="eastAsia"/>
          <w:lang w:val="en-US" w:eastAsia="zh-CN"/>
        </w:rPr>
        <w:t xml:space="preserve"> adaptive to channel</w:t>
      </w:r>
      <w:r>
        <w:rPr>
          <w:rFonts w:hint="eastAsia"/>
          <w:sz w:val="20"/>
          <w:szCs w:val="20"/>
          <w:lang w:val="en-US" w:eastAsia="zh-CN"/>
        </w:rPr>
        <w:t xml:space="preserve"> to reduce power consumption. FTP model 3(</w:t>
      </w:r>
      <w:r>
        <w:rPr>
          <w:rFonts w:hint="eastAsia"/>
          <w:lang w:val="en-US" w:eastAsia="zh-CN" w:bidi="ar"/>
        </w:rPr>
        <w:t>0.1 Mbytes packet size, mean inter-arrival time 200msec</w:t>
      </w:r>
      <w:r>
        <w:rPr>
          <w:rFonts w:hint="eastAsia"/>
          <w:sz w:val="20"/>
          <w:szCs w:val="20"/>
          <w:lang w:val="en-US" w:eastAsia="zh-CN"/>
        </w:rPr>
        <w:t>)</w:t>
      </w:r>
      <w:r>
        <w:rPr>
          <w:sz w:val="20"/>
          <w:szCs w:val="20"/>
          <w:lang w:val="en-US" w:eastAsia="zh-CN"/>
        </w:rPr>
        <w:t xml:space="preserve"> </w:t>
      </w:r>
      <w:r>
        <w:rPr>
          <w:rFonts w:hint="eastAsia"/>
          <w:sz w:val="20"/>
          <w:szCs w:val="20"/>
          <w:lang w:val="en-US" w:eastAsia="zh-CN"/>
        </w:rPr>
        <w:t>is used. CDRX configuration is 160-100-8.The simulation results is shown in Figure 4.</w:t>
      </w:r>
    </w:p>
    <w:p>
      <w:pPr>
        <w:pStyle w:val="34"/>
        <w:jc w:val="center"/>
      </w:pPr>
      <w:r>
        <w:rPr>
          <w:lang w:eastAsia="zh-CN"/>
        </w:rPr>
        <w:drawing>
          <wp:inline distT="0" distB="0" distL="114300" distR="114300">
            <wp:extent cx="4572000" cy="3171825"/>
            <wp:effectExtent l="4445" t="4445" r="14605" b="508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34"/>
        <w:jc w:val="center"/>
        <w:rPr>
          <w:color w:val="000000"/>
          <w:sz w:val="20"/>
          <w:szCs w:val="20"/>
          <w:lang w:eastAsia="zh-CN"/>
        </w:rPr>
      </w:pPr>
      <w:r>
        <w:rPr>
          <w:rFonts w:hint="eastAsia"/>
          <w:color w:val="000000"/>
          <w:sz w:val="20"/>
          <w:szCs w:val="20"/>
          <w:lang w:eastAsia="zh-CN"/>
        </w:rPr>
        <w:t>Figure 4 Simulation of antenna domain</w:t>
      </w:r>
    </w:p>
    <w:p>
      <w:pPr>
        <w:jc w:val="both"/>
        <w:rPr>
          <w:lang w:val="en-US" w:eastAsia="zh-CN"/>
        </w:rPr>
      </w:pPr>
      <w:r>
        <w:rPr>
          <w:rFonts w:hint="eastAsia"/>
          <w:sz w:val="20"/>
          <w:szCs w:val="20"/>
          <w:lang w:val="en-US" w:eastAsia="zh-CN"/>
        </w:rPr>
        <w:t xml:space="preserve">We assume the scaling factor of the power of </w:t>
      </w:r>
      <w:r>
        <w:rPr>
          <w:rFonts w:hint="eastAsia"/>
          <w:lang w:val="en-US" w:eastAsia="zh-CN"/>
        </w:rPr>
        <w:t xml:space="preserve">power state is calculate by the factor of BWP and antenna scaling. The scaling factor of the power with 2 </w:t>
      </w:r>
      <w:r>
        <w:rPr>
          <w:lang w:val="en-US" w:eastAsia="zh-CN"/>
        </w:rPr>
        <w:t>antennas</w:t>
      </w:r>
      <w:r>
        <w:rPr>
          <w:rFonts w:hint="eastAsia"/>
          <w:lang w:val="en-US" w:eastAsia="zh-CN"/>
        </w:rPr>
        <w:t xml:space="preserve"> and 20M BWP is (0.4+0.6*(20-20)/80)*0.7=0.28. Power of sleep state do not change.</w:t>
      </w:r>
    </w:p>
    <w:p>
      <w:pPr>
        <w:jc w:val="both"/>
        <w:rPr>
          <w:lang w:val="en-US" w:eastAsia="zh-CN"/>
        </w:rPr>
      </w:pPr>
      <w:r>
        <w:rPr>
          <w:rFonts w:hint="eastAsia"/>
          <w:lang w:val="en-US" w:eastAsia="zh-CN"/>
        </w:rPr>
        <w:t xml:space="preserve">From the simulation results, the power saving gain of UE </w:t>
      </w:r>
      <w:r>
        <w:rPr>
          <w:lang w:val="en-US" w:eastAsia="zh-CN"/>
        </w:rPr>
        <w:t>turns off</w:t>
      </w:r>
      <w:r>
        <w:rPr>
          <w:rFonts w:hint="eastAsia"/>
          <w:lang w:val="en-US" w:eastAsia="zh-CN"/>
        </w:rPr>
        <w:t xml:space="preserve"> 2panels/antennas </w:t>
      </w:r>
      <w:r>
        <w:rPr>
          <w:rFonts w:hint="eastAsia"/>
          <w:szCs w:val="21"/>
          <w:lang w:val="en-US" w:eastAsia="zh-CN"/>
        </w:rPr>
        <w:t>adaptive to channel</w:t>
      </w:r>
      <w:r>
        <w:rPr>
          <w:rFonts w:hint="eastAsia"/>
          <w:lang w:val="en-US" w:eastAsia="zh-CN"/>
        </w:rPr>
        <w:t xml:space="preserve"> during the processing time is about 13%. The power saving gain will increase with the increase of BWP.</w:t>
      </w:r>
    </w:p>
    <w:p>
      <w:pPr>
        <w:rPr>
          <w:b/>
          <w:bCs/>
          <w:lang w:val="en-US" w:eastAsia="zh-CN"/>
        </w:rPr>
      </w:pPr>
      <w:r>
        <w:rPr>
          <w:rFonts w:hint="eastAsia"/>
          <w:b/>
          <w:bCs/>
          <w:lang w:val="en-US" w:eastAsia="zh-CN"/>
        </w:rPr>
        <w:t xml:space="preserve">Observation 6: </w:t>
      </w:r>
      <w:r>
        <w:rPr>
          <w:b/>
          <w:bCs/>
          <w:lang w:val="en-US" w:eastAsia="zh-CN"/>
        </w:rPr>
        <w:t>To turn off</w:t>
      </w:r>
      <w:r>
        <w:rPr>
          <w:rFonts w:hint="eastAsia"/>
          <w:b/>
          <w:bCs/>
          <w:lang w:val="en-US" w:eastAsia="zh-CN"/>
        </w:rPr>
        <w:t xml:space="preserve"> some panels/antennas will have a good UE power saving gain.</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WUS and GTS</w:t>
      </w:r>
    </w:p>
    <w:p>
      <w:pPr>
        <w:pStyle w:val="4"/>
        <w:numPr>
          <w:ilvl w:val="2"/>
          <w:numId w:val="14"/>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w:t>
      </w:r>
      <w:r>
        <w:rPr>
          <w:rFonts w:hint="eastAsia" w:ascii="Times New Roman" w:hAnsi="Times New Roman"/>
          <w:b/>
          <w:sz w:val="24"/>
          <w:szCs w:val="24"/>
          <w:lang w:val="en-US" w:eastAsia="zh-CN"/>
        </w:rPr>
        <w:t>Evaluation for GTS</w:t>
      </w:r>
    </w:p>
    <w:p>
      <w:pPr>
        <w:jc w:val="both"/>
        <w:rPr>
          <w:lang w:val="en-US" w:eastAsia="zh-CN"/>
        </w:rPr>
      </w:pPr>
      <w:r>
        <w:rPr>
          <w:rFonts w:hint="eastAsia"/>
          <w:lang w:val="en-US" w:eastAsia="zh-CN"/>
        </w:rPr>
        <w:t xml:space="preserve">In this simulation, we evaluation the scheme of GTS [2]. </w:t>
      </w:r>
      <w:r>
        <w:t xml:space="preserve">GTS signalling can indicate sleep durations to induce micro-sleep within configured ON duration of DRX cycle. </w:t>
      </w:r>
      <w:r>
        <w:rPr>
          <w:rFonts w:hint="eastAsia"/>
          <w:lang w:val="en-US" w:eastAsia="zh-CN"/>
        </w:rPr>
        <w:t>A</w:t>
      </w:r>
      <w:r>
        <w:t xml:space="preserve">ssume GTS signalling may indicate sleep duration of 2ms, 4ms, 8ms, 16ms. </w:t>
      </w:r>
      <w:r>
        <w:rPr>
          <w:rFonts w:hint="eastAsia"/>
          <w:lang w:val="en-US" w:eastAsia="zh-CN"/>
        </w:rPr>
        <w:t>Assume GTS is set on the fourth slot of On duration every CDRX cycle. If there is no DL grant in the following 2ms/4ms/8ms/16ms time, UE have a sleep duration of 2ms/4ms/8ms/16ms and another GTS after wake up will be active to indicate whether to have another sleep duration. FTP model 3 is used.</w:t>
      </w:r>
    </w:p>
    <w:p>
      <w:pPr>
        <w:jc w:val="center"/>
      </w:pPr>
      <w:r>
        <w:rPr>
          <w:lang w:val="en-US" w:eastAsia="zh-CN"/>
        </w:rPr>
        <w:drawing>
          <wp:inline distT="0" distB="0" distL="114300" distR="114300">
            <wp:extent cx="4572000" cy="2743200"/>
            <wp:effectExtent l="4445" t="4445" r="14605" b="14605"/>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lang w:val="en-US" w:eastAsia="zh-CN"/>
        </w:rPr>
      </w:pPr>
      <w:r>
        <w:rPr>
          <w:rFonts w:hint="eastAsia"/>
          <w:lang w:val="en-US" w:eastAsia="zh-CN"/>
        </w:rPr>
        <w:t>Figure 5 Simulation of GTS</w:t>
      </w:r>
    </w:p>
    <w:p>
      <w:pPr>
        <w:jc w:val="both"/>
        <w:rPr>
          <w:lang w:val="en-US" w:eastAsia="zh-CN"/>
        </w:rPr>
      </w:pPr>
      <w:r>
        <w:rPr>
          <w:rFonts w:hint="eastAsia"/>
          <w:lang w:val="en-US" w:eastAsia="zh-CN"/>
        </w:rPr>
        <w:t xml:space="preserve">From the simulation results, we have the following observation. GTS has a good performance for UE power saving.  The sleep duration indicated by GTS of 2ms and 4ms have little change of power consumption and the sleep duration of 8ms and 16ms also have little change of power consumption. But sleep duration of 8ms can save more power because of UE can go to light sleep when sleep duration is larger than 6ms. So the </w:t>
      </w:r>
      <w:r>
        <w:t>sleep duration</w:t>
      </w:r>
      <w:r>
        <w:rPr>
          <w:rFonts w:hint="eastAsia"/>
          <w:lang w:val="en-US" w:eastAsia="zh-CN"/>
        </w:rPr>
        <w:t xml:space="preserve"> </w:t>
      </w:r>
      <w:r>
        <w:t>indicate</w:t>
      </w:r>
      <w:r>
        <w:rPr>
          <w:rFonts w:hint="eastAsia"/>
          <w:lang w:val="en-US" w:eastAsia="zh-CN"/>
        </w:rPr>
        <w:t>d</w:t>
      </w:r>
      <w:r>
        <w:t xml:space="preserve"> </w:t>
      </w:r>
      <w:r>
        <w:rPr>
          <w:rFonts w:hint="eastAsia"/>
          <w:lang w:val="en-US" w:eastAsia="zh-CN"/>
        </w:rPr>
        <w:t>by GTS should be chose wisely.</w:t>
      </w:r>
    </w:p>
    <w:p>
      <w:pPr>
        <w:jc w:val="both"/>
        <w:rPr>
          <w:b/>
          <w:bCs/>
          <w:lang w:val="en-US" w:eastAsia="zh-CN"/>
        </w:rPr>
      </w:pPr>
      <w:r>
        <w:rPr>
          <w:rFonts w:hint="eastAsia"/>
          <w:b/>
          <w:bCs/>
          <w:lang w:val="en-US" w:eastAsia="zh-CN"/>
        </w:rPr>
        <w:t>Observation 7: GTS has a good performance for UE power saving. The sleep duration indicated by GTS have some impact on the performance of power saving.</w:t>
      </w:r>
    </w:p>
    <w:p>
      <w:pPr>
        <w:jc w:val="both"/>
        <w:rPr>
          <w:b/>
          <w:bCs/>
          <w:lang w:val="en-US" w:eastAsia="zh-CN"/>
        </w:rPr>
      </w:pPr>
      <w:r>
        <w:rPr>
          <w:rFonts w:hint="eastAsia"/>
          <w:b/>
          <w:bCs/>
          <w:lang w:val="en-US" w:eastAsia="zh-CN"/>
        </w:rPr>
        <w:t xml:space="preserve">Proposal 3: If GTS is studied, the </w:t>
      </w:r>
      <w:r>
        <w:rPr>
          <w:b/>
          <w:bCs/>
        </w:rPr>
        <w:t>sleep duration</w:t>
      </w:r>
      <w:r>
        <w:rPr>
          <w:rFonts w:hint="eastAsia"/>
          <w:b/>
          <w:bCs/>
          <w:lang w:val="en-US" w:eastAsia="zh-CN"/>
        </w:rPr>
        <w:t xml:space="preserve"> </w:t>
      </w:r>
      <w:r>
        <w:rPr>
          <w:b/>
          <w:bCs/>
        </w:rPr>
        <w:t>indicate</w:t>
      </w:r>
      <w:r>
        <w:rPr>
          <w:rFonts w:hint="eastAsia"/>
          <w:b/>
          <w:bCs/>
          <w:lang w:val="en-US" w:eastAsia="zh-CN"/>
        </w:rPr>
        <w:t>d</w:t>
      </w:r>
      <w:r>
        <w:rPr>
          <w:b/>
          <w:bCs/>
        </w:rPr>
        <w:t xml:space="preserve"> </w:t>
      </w:r>
      <w:r>
        <w:rPr>
          <w:rFonts w:hint="eastAsia"/>
          <w:b/>
          <w:bCs/>
          <w:lang w:val="en-US" w:eastAsia="zh-CN"/>
        </w:rPr>
        <w:t>by GTS should be chose wisely.</w:t>
      </w:r>
    </w:p>
    <w:p>
      <w:pPr>
        <w:pStyle w:val="4"/>
        <w:numPr>
          <w:ilvl w:val="2"/>
          <w:numId w:val="14"/>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w:t>
      </w:r>
      <w:r>
        <w:rPr>
          <w:rFonts w:hint="eastAsia" w:ascii="Times New Roman" w:hAnsi="Times New Roman"/>
          <w:b/>
          <w:sz w:val="24"/>
          <w:szCs w:val="24"/>
          <w:lang w:val="en-US" w:eastAsia="zh-CN"/>
        </w:rPr>
        <w:t>Evaluation for wake-up signal/channel</w:t>
      </w:r>
    </w:p>
    <w:p>
      <w:pPr>
        <w:jc w:val="both"/>
        <w:rPr>
          <w:lang w:val="en-US" w:eastAsia="zh-CN"/>
        </w:rPr>
      </w:pPr>
      <w:r>
        <w:rPr>
          <w:rFonts w:hint="eastAsia"/>
          <w:lang w:val="en-US" w:eastAsia="zh-CN"/>
        </w:rPr>
        <w:t xml:space="preserve">In this section, we evaluate several schemes of wake-up signal/channel and give the simulation results of each scheme. The detail of simulation configuration is shown in Appendix A. Assume the wake-up signal/channel state cost 50 units power consumption in one slot. </w:t>
      </w:r>
    </w:p>
    <w:p>
      <w:pPr>
        <w:jc w:val="center"/>
        <w:rPr>
          <w:rFonts w:hint="default"/>
          <w:lang w:val="en-US" w:eastAsia="zh-CN"/>
        </w:rPr>
      </w:pPr>
      <w:r>
        <w:rPr>
          <w:rFonts w:hint="eastAsia"/>
          <w:lang w:val="en-US" w:eastAsia="zh-CN"/>
        </w:rPr>
        <w:t>Table 2 Simulation of wake-up signal/channel</w:t>
      </w:r>
    </w:p>
    <w:tbl>
      <w:tblPr>
        <w:tblStyle w:val="42"/>
        <w:tblW w:w="10026" w:type="dxa"/>
        <w:jc w:val="center"/>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99"/>
        <w:gridCol w:w="866"/>
        <w:gridCol w:w="866"/>
        <w:gridCol w:w="866"/>
        <w:gridCol w:w="866"/>
        <w:gridCol w:w="866"/>
        <w:gridCol w:w="866"/>
        <w:gridCol w:w="866"/>
        <w:gridCol w:w="866"/>
        <w:gridCol w:w="866"/>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jc w:val="center"/>
              <w:rPr>
                <w:sz w:val="18"/>
                <w:szCs w:val="18"/>
                <w:lang w:val="en-US" w:eastAsia="zh-CN"/>
              </w:rPr>
            </w:pPr>
          </w:p>
        </w:tc>
        <w:tc>
          <w:tcPr>
            <w:tcW w:w="5029" w:type="dxa"/>
            <w:gridSpan w:val="6"/>
            <w:shd w:val="clear" w:color="auto" w:fill="F4B083" w:themeFill="accent2" w:themeFillTint="99"/>
            <w:vAlign w:val="center"/>
          </w:tcPr>
          <w:p>
            <w:pPr>
              <w:widowControl w:val="0"/>
              <w:jc w:val="center"/>
              <w:rPr>
                <w:sz w:val="18"/>
                <w:szCs w:val="18"/>
                <w:lang w:val="en-US" w:eastAsia="zh-CN"/>
              </w:rPr>
            </w:pPr>
            <w:r>
              <w:rPr>
                <w:rFonts w:hint="eastAsia"/>
                <w:sz w:val="18"/>
                <w:szCs w:val="18"/>
                <w:lang w:val="en-US" w:eastAsia="zh-CN"/>
              </w:rPr>
              <w:t>Average power consumption of 1 slot</w:t>
            </w:r>
          </w:p>
        </w:tc>
        <w:tc>
          <w:tcPr>
            <w:tcW w:w="4330" w:type="dxa"/>
            <w:gridSpan w:val="5"/>
            <w:shd w:val="clear" w:color="auto" w:fill="8EAADB" w:themeFill="accent1" w:themeFillTint="99"/>
            <w:vAlign w:val="center"/>
          </w:tcPr>
          <w:p>
            <w:pPr>
              <w:widowControl w:val="0"/>
              <w:jc w:val="center"/>
              <w:rPr>
                <w:sz w:val="18"/>
                <w:szCs w:val="18"/>
                <w:lang w:val="en-US" w:eastAsia="zh-CN"/>
              </w:rPr>
            </w:pPr>
            <w:r>
              <w:rPr>
                <w:rFonts w:hint="eastAsia"/>
                <w:sz w:val="18"/>
                <w:szCs w:val="18"/>
                <w:lang w:val="en-US" w:eastAsia="zh-CN"/>
              </w:rPr>
              <w:t>Power saving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jc w:val="center"/>
              <w:rPr>
                <w:sz w:val="18"/>
                <w:szCs w:val="18"/>
                <w:lang w:val="en-US" w:eastAsia="zh-CN"/>
              </w:rPr>
            </w:pPr>
          </w:p>
        </w:tc>
        <w:tc>
          <w:tcPr>
            <w:tcW w:w="699" w:type="dxa"/>
            <w:vAlign w:val="center"/>
          </w:tcPr>
          <w:p>
            <w:pPr>
              <w:widowControl w:val="0"/>
              <w:jc w:val="center"/>
              <w:rPr>
                <w:sz w:val="18"/>
                <w:szCs w:val="18"/>
                <w:lang w:val="en-US" w:eastAsia="zh-CN"/>
              </w:rPr>
            </w:pPr>
            <w:r>
              <w:rPr>
                <w:rFonts w:hint="eastAsia"/>
                <w:sz w:val="18"/>
                <w:szCs w:val="18"/>
                <w:lang w:val="en-US" w:eastAsia="zh-CN"/>
              </w:rPr>
              <w:t>Base-line</w:t>
            </w:r>
          </w:p>
        </w:tc>
        <w:tc>
          <w:tcPr>
            <w:tcW w:w="866" w:type="dxa"/>
            <w:vAlign w:val="center"/>
          </w:tcPr>
          <w:p>
            <w:pPr>
              <w:widowControl w:val="0"/>
              <w:jc w:val="center"/>
              <w:rPr>
                <w:sz w:val="18"/>
                <w:szCs w:val="18"/>
                <w:lang w:val="en-US" w:eastAsia="zh-CN"/>
              </w:rPr>
            </w:pPr>
            <w:r>
              <w:rPr>
                <w:rFonts w:hint="eastAsia"/>
                <w:sz w:val="18"/>
                <w:szCs w:val="18"/>
                <w:lang w:val="en-US" w:eastAsia="zh-CN"/>
              </w:rPr>
              <w:t>Scheme1</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Scheme2</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Scheme3</w:t>
            </w:r>
            <w:r>
              <w:rPr>
                <w:rFonts w:hint="eastAsia"/>
                <w:sz w:val="18"/>
                <w:szCs w:val="18"/>
                <w:vertAlign w:val="superscript"/>
                <w:lang w:val="en-US" w:eastAsia="zh-CN"/>
              </w:rPr>
              <w:t>[4]</w:t>
            </w:r>
          </w:p>
        </w:tc>
        <w:tc>
          <w:tcPr>
            <w:tcW w:w="866" w:type="dxa"/>
            <w:vAlign w:val="center"/>
          </w:tcPr>
          <w:p>
            <w:pPr>
              <w:widowControl w:val="0"/>
              <w:jc w:val="center"/>
              <w:rPr>
                <w:sz w:val="18"/>
                <w:szCs w:val="18"/>
                <w:lang w:val="en-US" w:eastAsia="zh-CN"/>
              </w:rPr>
            </w:pPr>
            <w:r>
              <w:rPr>
                <w:rFonts w:hint="eastAsia"/>
                <w:sz w:val="18"/>
                <w:szCs w:val="18"/>
                <w:lang w:val="en-US" w:eastAsia="zh-CN"/>
              </w:rPr>
              <w:t>Scheme4</w:t>
            </w:r>
            <w:r>
              <w:rPr>
                <w:rFonts w:hint="eastAsia"/>
                <w:sz w:val="18"/>
                <w:szCs w:val="18"/>
                <w:vertAlign w:val="superscript"/>
                <w:lang w:val="en-US" w:eastAsia="zh-CN"/>
              </w:rPr>
              <w:t>[5]</w:t>
            </w:r>
          </w:p>
        </w:tc>
        <w:tc>
          <w:tcPr>
            <w:tcW w:w="866" w:type="dxa"/>
            <w:vAlign w:val="center"/>
          </w:tcPr>
          <w:p>
            <w:pPr>
              <w:widowControl w:val="0"/>
              <w:jc w:val="center"/>
              <w:rPr>
                <w:sz w:val="18"/>
                <w:szCs w:val="18"/>
                <w:lang w:val="en-US" w:eastAsia="zh-CN"/>
              </w:rPr>
            </w:pPr>
            <w:r>
              <w:rPr>
                <w:rFonts w:hint="eastAsia"/>
                <w:sz w:val="18"/>
                <w:szCs w:val="18"/>
                <w:lang w:val="en-US" w:eastAsia="zh-CN"/>
              </w:rPr>
              <w:t>Scheme5</w:t>
            </w:r>
            <w:r>
              <w:rPr>
                <w:rFonts w:hint="eastAsia"/>
                <w:sz w:val="18"/>
                <w:szCs w:val="18"/>
                <w:vertAlign w:val="superscript"/>
                <w:lang w:val="en-US" w:eastAsia="zh-CN"/>
              </w:rPr>
              <w:t>[6]</w:t>
            </w:r>
          </w:p>
        </w:tc>
        <w:tc>
          <w:tcPr>
            <w:tcW w:w="866" w:type="dxa"/>
            <w:vAlign w:val="center"/>
          </w:tcPr>
          <w:p>
            <w:pPr>
              <w:widowControl w:val="0"/>
              <w:jc w:val="center"/>
              <w:rPr>
                <w:sz w:val="18"/>
                <w:szCs w:val="18"/>
                <w:lang w:val="en-US" w:eastAsia="zh-CN"/>
              </w:rPr>
            </w:pPr>
            <w:r>
              <w:rPr>
                <w:rFonts w:hint="eastAsia"/>
                <w:sz w:val="18"/>
                <w:szCs w:val="18"/>
                <w:lang w:val="en-US" w:eastAsia="zh-CN"/>
              </w:rPr>
              <w:t>Scheme1</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Scheme2</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Scheme3</w:t>
            </w:r>
            <w:r>
              <w:rPr>
                <w:rFonts w:hint="eastAsia"/>
                <w:sz w:val="18"/>
                <w:szCs w:val="18"/>
                <w:vertAlign w:val="superscript"/>
                <w:lang w:val="en-US" w:eastAsia="zh-CN"/>
              </w:rPr>
              <w:t>[4]</w:t>
            </w:r>
          </w:p>
        </w:tc>
        <w:tc>
          <w:tcPr>
            <w:tcW w:w="866" w:type="dxa"/>
            <w:vAlign w:val="center"/>
          </w:tcPr>
          <w:p>
            <w:pPr>
              <w:widowControl w:val="0"/>
              <w:jc w:val="center"/>
              <w:rPr>
                <w:sz w:val="18"/>
                <w:szCs w:val="18"/>
                <w:lang w:val="en-US" w:eastAsia="zh-CN"/>
              </w:rPr>
            </w:pPr>
            <w:r>
              <w:rPr>
                <w:rFonts w:hint="eastAsia"/>
                <w:sz w:val="18"/>
                <w:szCs w:val="18"/>
                <w:lang w:val="en-US" w:eastAsia="zh-CN"/>
              </w:rPr>
              <w:t>Scheme4</w:t>
            </w:r>
            <w:r>
              <w:rPr>
                <w:rFonts w:hint="eastAsia"/>
                <w:sz w:val="18"/>
                <w:szCs w:val="18"/>
                <w:vertAlign w:val="superscript"/>
                <w:lang w:val="en-US" w:eastAsia="zh-CN"/>
              </w:rPr>
              <w:t>[5]</w:t>
            </w:r>
          </w:p>
        </w:tc>
        <w:tc>
          <w:tcPr>
            <w:tcW w:w="866" w:type="dxa"/>
            <w:vAlign w:val="center"/>
          </w:tcPr>
          <w:p>
            <w:pPr>
              <w:widowControl w:val="0"/>
              <w:jc w:val="center"/>
              <w:rPr>
                <w:sz w:val="18"/>
                <w:szCs w:val="18"/>
                <w:lang w:val="en-US" w:eastAsia="zh-CN"/>
              </w:rPr>
            </w:pPr>
            <w:r>
              <w:rPr>
                <w:rFonts w:hint="eastAsia"/>
                <w:sz w:val="18"/>
                <w:szCs w:val="18"/>
                <w:lang w:val="en-US" w:eastAsia="zh-CN"/>
              </w:rPr>
              <w:t>Scheme5</w:t>
            </w:r>
            <w:r>
              <w:rPr>
                <w:rFonts w:hint="eastAsia"/>
                <w:sz w:val="18"/>
                <w:szCs w:val="18"/>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667" w:type="dxa"/>
            <w:vAlign w:val="center"/>
          </w:tcPr>
          <w:p>
            <w:pPr>
              <w:widowControl w:val="0"/>
              <w:spacing w:after="0" w:line="260" w:lineRule="auto"/>
              <w:jc w:val="center"/>
              <w:rPr>
                <w:rFonts w:hint="eastAsia"/>
                <w:sz w:val="18"/>
                <w:szCs w:val="18"/>
                <w:lang w:val="en-US" w:eastAsia="zh-CN"/>
              </w:rPr>
            </w:pPr>
            <w:r>
              <w:rPr>
                <w:rFonts w:hint="eastAsia"/>
                <w:sz w:val="18"/>
                <w:szCs w:val="18"/>
                <w:lang w:val="en-US" w:eastAsia="zh-CN"/>
              </w:rPr>
              <w:t>160-10-</w:t>
            </w:r>
          </w:p>
          <w:p>
            <w:pPr>
              <w:widowControl w:val="0"/>
              <w:spacing w:after="0" w:line="260" w:lineRule="auto"/>
              <w:jc w:val="center"/>
              <w:rPr>
                <w:sz w:val="18"/>
                <w:szCs w:val="18"/>
                <w:lang w:val="en-US" w:eastAsia="zh-CN"/>
              </w:rPr>
            </w:pPr>
            <w:r>
              <w:rPr>
                <w:rFonts w:hint="eastAsia"/>
                <w:sz w:val="18"/>
                <w:szCs w:val="18"/>
                <w:lang w:val="en-US" w:eastAsia="zh-CN"/>
              </w:rPr>
              <w:t>8</w:t>
            </w:r>
          </w:p>
        </w:tc>
        <w:tc>
          <w:tcPr>
            <w:tcW w:w="699" w:type="dxa"/>
            <w:vAlign w:val="center"/>
          </w:tcPr>
          <w:p>
            <w:pPr>
              <w:widowControl w:val="0"/>
              <w:jc w:val="center"/>
              <w:rPr>
                <w:sz w:val="18"/>
                <w:szCs w:val="18"/>
                <w:lang w:val="en-US" w:eastAsia="zh-CN"/>
              </w:rPr>
            </w:pPr>
            <w:r>
              <w:rPr>
                <w:rFonts w:hint="eastAsia"/>
                <w:sz w:val="18"/>
                <w:szCs w:val="18"/>
                <w:lang w:val="en-US" w:eastAsia="zh-CN"/>
              </w:rPr>
              <w:t>11.17</w:t>
            </w:r>
          </w:p>
        </w:tc>
        <w:tc>
          <w:tcPr>
            <w:tcW w:w="866" w:type="dxa"/>
            <w:vAlign w:val="center"/>
          </w:tcPr>
          <w:p>
            <w:pPr>
              <w:widowControl w:val="0"/>
              <w:jc w:val="center"/>
              <w:rPr>
                <w:sz w:val="18"/>
                <w:szCs w:val="18"/>
                <w:lang w:val="en-US" w:eastAsia="zh-CN"/>
              </w:rPr>
            </w:pPr>
            <w:r>
              <w:rPr>
                <w:rFonts w:hint="eastAsia"/>
                <w:sz w:val="18"/>
                <w:szCs w:val="18"/>
                <w:lang w:val="en-US" w:eastAsia="zh-CN"/>
              </w:rPr>
              <w:t>9.17</w:t>
            </w:r>
          </w:p>
        </w:tc>
        <w:tc>
          <w:tcPr>
            <w:tcW w:w="866" w:type="dxa"/>
            <w:vAlign w:val="center"/>
          </w:tcPr>
          <w:p>
            <w:pPr>
              <w:widowControl w:val="0"/>
              <w:jc w:val="center"/>
              <w:rPr>
                <w:sz w:val="18"/>
                <w:szCs w:val="18"/>
                <w:lang w:val="en-US" w:eastAsia="zh-CN"/>
              </w:rPr>
            </w:pPr>
            <w:r>
              <w:rPr>
                <w:rFonts w:hint="eastAsia"/>
                <w:sz w:val="18"/>
                <w:szCs w:val="18"/>
                <w:lang w:val="en-US" w:eastAsia="zh-CN"/>
              </w:rPr>
              <w:t>8.76</w:t>
            </w:r>
          </w:p>
        </w:tc>
        <w:tc>
          <w:tcPr>
            <w:tcW w:w="866" w:type="dxa"/>
            <w:vAlign w:val="center"/>
          </w:tcPr>
          <w:p>
            <w:pPr>
              <w:widowControl w:val="0"/>
              <w:jc w:val="center"/>
              <w:rPr>
                <w:sz w:val="18"/>
                <w:szCs w:val="18"/>
                <w:lang w:val="en-US" w:eastAsia="zh-CN"/>
              </w:rPr>
            </w:pPr>
            <w:r>
              <w:rPr>
                <w:rFonts w:hint="eastAsia"/>
                <w:sz w:val="18"/>
                <w:szCs w:val="18"/>
                <w:lang w:val="en-US" w:eastAsia="zh-CN"/>
              </w:rPr>
              <w:t>8.91</w:t>
            </w:r>
          </w:p>
        </w:tc>
        <w:tc>
          <w:tcPr>
            <w:tcW w:w="866" w:type="dxa"/>
            <w:vAlign w:val="center"/>
          </w:tcPr>
          <w:p>
            <w:pPr>
              <w:widowControl w:val="0"/>
              <w:jc w:val="center"/>
              <w:rPr>
                <w:sz w:val="18"/>
                <w:szCs w:val="18"/>
                <w:lang w:val="en-US" w:eastAsia="zh-CN"/>
              </w:rPr>
            </w:pPr>
            <w:r>
              <w:rPr>
                <w:rFonts w:hint="eastAsia"/>
                <w:sz w:val="18"/>
                <w:szCs w:val="18"/>
                <w:lang w:val="en-US" w:eastAsia="zh-CN"/>
              </w:rPr>
              <w:t>8.14</w:t>
            </w:r>
          </w:p>
        </w:tc>
        <w:tc>
          <w:tcPr>
            <w:tcW w:w="866" w:type="dxa"/>
            <w:vAlign w:val="center"/>
          </w:tcPr>
          <w:p>
            <w:pPr>
              <w:widowControl w:val="0"/>
              <w:jc w:val="center"/>
              <w:rPr>
                <w:sz w:val="18"/>
                <w:szCs w:val="18"/>
                <w:lang w:val="en-US" w:eastAsia="zh-CN"/>
              </w:rPr>
            </w:pPr>
            <w:r>
              <w:rPr>
                <w:rFonts w:hint="eastAsia"/>
                <w:sz w:val="18"/>
                <w:szCs w:val="18"/>
                <w:lang w:val="en-US" w:eastAsia="zh-CN"/>
              </w:rPr>
              <w:t>8.84</w:t>
            </w:r>
          </w:p>
        </w:tc>
        <w:tc>
          <w:tcPr>
            <w:tcW w:w="866" w:type="dxa"/>
            <w:vAlign w:val="center"/>
          </w:tcPr>
          <w:p>
            <w:pPr>
              <w:widowControl w:val="0"/>
              <w:jc w:val="center"/>
              <w:rPr>
                <w:sz w:val="18"/>
                <w:szCs w:val="18"/>
                <w:lang w:val="en-US" w:eastAsia="zh-CN"/>
              </w:rPr>
            </w:pPr>
            <w:r>
              <w:rPr>
                <w:rFonts w:hint="eastAsia"/>
                <w:sz w:val="18"/>
                <w:szCs w:val="18"/>
                <w:lang w:val="en-US" w:eastAsia="zh-CN"/>
              </w:rPr>
              <w:t>17.89%</w:t>
            </w:r>
          </w:p>
        </w:tc>
        <w:tc>
          <w:tcPr>
            <w:tcW w:w="866" w:type="dxa"/>
            <w:vAlign w:val="center"/>
          </w:tcPr>
          <w:p>
            <w:pPr>
              <w:widowControl w:val="0"/>
              <w:jc w:val="center"/>
              <w:rPr>
                <w:sz w:val="18"/>
                <w:szCs w:val="18"/>
                <w:lang w:val="en-US" w:eastAsia="zh-CN"/>
              </w:rPr>
            </w:pPr>
            <w:r>
              <w:rPr>
                <w:rFonts w:hint="eastAsia"/>
                <w:sz w:val="18"/>
                <w:szCs w:val="18"/>
                <w:lang w:val="en-US" w:eastAsia="zh-CN"/>
              </w:rPr>
              <w:t>21.55%</w:t>
            </w:r>
          </w:p>
        </w:tc>
        <w:tc>
          <w:tcPr>
            <w:tcW w:w="866" w:type="dxa"/>
            <w:vAlign w:val="center"/>
          </w:tcPr>
          <w:p>
            <w:pPr>
              <w:widowControl w:val="0"/>
              <w:jc w:val="center"/>
              <w:rPr>
                <w:sz w:val="18"/>
                <w:szCs w:val="18"/>
                <w:lang w:val="en-US" w:eastAsia="zh-CN"/>
              </w:rPr>
            </w:pPr>
            <w:r>
              <w:rPr>
                <w:rFonts w:hint="eastAsia"/>
                <w:sz w:val="18"/>
                <w:szCs w:val="18"/>
                <w:lang w:val="en-US" w:eastAsia="zh-CN"/>
              </w:rPr>
              <w:t>20.22%</w:t>
            </w:r>
          </w:p>
        </w:tc>
        <w:tc>
          <w:tcPr>
            <w:tcW w:w="866" w:type="dxa"/>
            <w:vAlign w:val="center"/>
          </w:tcPr>
          <w:p>
            <w:pPr>
              <w:widowControl w:val="0"/>
              <w:jc w:val="center"/>
              <w:rPr>
                <w:sz w:val="18"/>
                <w:szCs w:val="18"/>
                <w:lang w:val="en-US" w:eastAsia="zh-CN"/>
              </w:rPr>
            </w:pPr>
            <w:r>
              <w:rPr>
                <w:rFonts w:hint="eastAsia"/>
                <w:sz w:val="18"/>
                <w:szCs w:val="18"/>
                <w:lang w:val="en-US" w:eastAsia="zh-CN"/>
              </w:rPr>
              <w:t>27.09%</w:t>
            </w:r>
          </w:p>
        </w:tc>
        <w:tc>
          <w:tcPr>
            <w:tcW w:w="866" w:type="dxa"/>
            <w:vAlign w:val="center"/>
          </w:tcPr>
          <w:p>
            <w:pPr>
              <w:widowControl w:val="0"/>
              <w:jc w:val="center"/>
              <w:rPr>
                <w:sz w:val="18"/>
                <w:szCs w:val="18"/>
                <w:lang w:val="en-US" w:eastAsia="zh-CN"/>
              </w:rPr>
            </w:pPr>
            <w:r>
              <w:rPr>
                <w:rFonts w:hint="eastAsia"/>
                <w:sz w:val="18"/>
                <w:szCs w:val="18"/>
                <w:lang w:val="en-US" w:eastAsia="zh-CN"/>
              </w:rPr>
              <w:t>20.88%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spacing w:after="0" w:line="260" w:lineRule="auto"/>
              <w:jc w:val="center"/>
              <w:rPr>
                <w:rFonts w:hint="eastAsia"/>
                <w:sz w:val="18"/>
                <w:szCs w:val="18"/>
                <w:lang w:val="en-US" w:eastAsia="zh-CN"/>
              </w:rPr>
            </w:pPr>
            <w:r>
              <w:rPr>
                <w:rFonts w:hint="eastAsia"/>
                <w:sz w:val="18"/>
                <w:szCs w:val="18"/>
                <w:lang w:val="en-US" w:eastAsia="zh-CN"/>
              </w:rPr>
              <w:t>160-40-</w:t>
            </w:r>
          </w:p>
          <w:p>
            <w:pPr>
              <w:widowControl w:val="0"/>
              <w:spacing w:after="0" w:line="260" w:lineRule="auto"/>
              <w:jc w:val="center"/>
              <w:rPr>
                <w:sz w:val="18"/>
                <w:szCs w:val="18"/>
                <w:lang w:val="en-US" w:eastAsia="zh-CN"/>
              </w:rPr>
            </w:pPr>
            <w:r>
              <w:rPr>
                <w:rFonts w:hint="eastAsia"/>
                <w:sz w:val="18"/>
                <w:szCs w:val="18"/>
                <w:lang w:val="en-US" w:eastAsia="zh-CN"/>
              </w:rPr>
              <w:t>8</w:t>
            </w:r>
          </w:p>
        </w:tc>
        <w:tc>
          <w:tcPr>
            <w:tcW w:w="699" w:type="dxa"/>
            <w:vAlign w:val="center"/>
          </w:tcPr>
          <w:p>
            <w:pPr>
              <w:widowControl w:val="0"/>
              <w:jc w:val="center"/>
              <w:rPr>
                <w:sz w:val="18"/>
                <w:szCs w:val="18"/>
                <w:lang w:val="en-US" w:eastAsia="zh-CN"/>
              </w:rPr>
            </w:pPr>
            <w:r>
              <w:rPr>
                <w:rFonts w:hint="eastAsia"/>
                <w:sz w:val="18"/>
                <w:szCs w:val="18"/>
                <w:lang w:val="en-US" w:eastAsia="zh-CN"/>
              </w:rPr>
              <w:t>21.72</w:t>
            </w:r>
          </w:p>
        </w:tc>
        <w:tc>
          <w:tcPr>
            <w:tcW w:w="866" w:type="dxa"/>
            <w:vAlign w:val="center"/>
          </w:tcPr>
          <w:p>
            <w:pPr>
              <w:widowControl w:val="0"/>
              <w:jc w:val="center"/>
              <w:rPr>
                <w:sz w:val="18"/>
                <w:szCs w:val="18"/>
                <w:lang w:val="en-US" w:eastAsia="zh-CN"/>
              </w:rPr>
            </w:pPr>
            <w:r>
              <w:rPr>
                <w:rFonts w:hint="eastAsia"/>
                <w:sz w:val="18"/>
                <w:szCs w:val="18"/>
                <w:lang w:val="en-US" w:eastAsia="zh-CN"/>
              </w:rPr>
              <w:t>19.51</w:t>
            </w:r>
          </w:p>
        </w:tc>
        <w:tc>
          <w:tcPr>
            <w:tcW w:w="866" w:type="dxa"/>
            <w:vAlign w:val="center"/>
          </w:tcPr>
          <w:p>
            <w:pPr>
              <w:widowControl w:val="0"/>
              <w:jc w:val="center"/>
              <w:rPr>
                <w:sz w:val="18"/>
                <w:szCs w:val="18"/>
                <w:lang w:val="en-US" w:eastAsia="zh-CN"/>
              </w:rPr>
            </w:pPr>
            <w:r>
              <w:rPr>
                <w:rFonts w:hint="eastAsia"/>
                <w:sz w:val="18"/>
                <w:szCs w:val="18"/>
                <w:lang w:val="en-US" w:eastAsia="zh-CN"/>
              </w:rPr>
              <w:t>19.09</w:t>
            </w:r>
          </w:p>
        </w:tc>
        <w:tc>
          <w:tcPr>
            <w:tcW w:w="866" w:type="dxa"/>
            <w:vAlign w:val="center"/>
          </w:tcPr>
          <w:p>
            <w:pPr>
              <w:widowControl w:val="0"/>
              <w:jc w:val="center"/>
              <w:rPr>
                <w:sz w:val="18"/>
                <w:szCs w:val="18"/>
                <w:lang w:val="en-US" w:eastAsia="zh-CN"/>
              </w:rPr>
            </w:pPr>
            <w:r>
              <w:rPr>
                <w:rFonts w:hint="eastAsia"/>
                <w:sz w:val="18"/>
                <w:szCs w:val="18"/>
                <w:lang w:val="en-US" w:eastAsia="zh-CN"/>
              </w:rPr>
              <w:t>19.19</w:t>
            </w:r>
          </w:p>
        </w:tc>
        <w:tc>
          <w:tcPr>
            <w:tcW w:w="866" w:type="dxa"/>
            <w:vAlign w:val="center"/>
          </w:tcPr>
          <w:p>
            <w:pPr>
              <w:widowControl w:val="0"/>
              <w:jc w:val="center"/>
              <w:rPr>
                <w:sz w:val="18"/>
                <w:szCs w:val="18"/>
                <w:lang w:val="en-US" w:eastAsia="zh-CN"/>
              </w:rPr>
            </w:pPr>
            <w:r>
              <w:rPr>
                <w:rFonts w:hint="eastAsia"/>
                <w:sz w:val="18"/>
                <w:szCs w:val="18"/>
                <w:lang w:val="en-US" w:eastAsia="zh-CN"/>
              </w:rPr>
              <w:t>18.37</w:t>
            </w:r>
          </w:p>
        </w:tc>
        <w:tc>
          <w:tcPr>
            <w:tcW w:w="866" w:type="dxa"/>
            <w:vAlign w:val="center"/>
          </w:tcPr>
          <w:p>
            <w:pPr>
              <w:widowControl w:val="0"/>
              <w:jc w:val="center"/>
              <w:rPr>
                <w:sz w:val="18"/>
                <w:szCs w:val="18"/>
                <w:lang w:val="en-US" w:eastAsia="zh-CN"/>
              </w:rPr>
            </w:pPr>
            <w:r>
              <w:rPr>
                <w:rFonts w:hint="eastAsia"/>
                <w:sz w:val="18"/>
                <w:szCs w:val="18"/>
                <w:lang w:val="en-US" w:eastAsia="zh-CN"/>
              </w:rPr>
              <w:t>19.14</w:t>
            </w:r>
          </w:p>
        </w:tc>
        <w:tc>
          <w:tcPr>
            <w:tcW w:w="866" w:type="dxa"/>
            <w:vAlign w:val="center"/>
          </w:tcPr>
          <w:p>
            <w:pPr>
              <w:widowControl w:val="0"/>
              <w:jc w:val="center"/>
              <w:rPr>
                <w:sz w:val="18"/>
                <w:szCs w:val="18"/>
                <w:lang w:val="en-US" w:eastAsia="zh-CN"/>
              </w:rPr>
            </w:pPr>
            <w:r>
              <w:rPr>
                <w:rFonts w:hint="eastAsia"/>
                <w:sz w:val="18"/>
                <w:szCs w:val="18"/>
                <w:lang w:val="en-US" w:eastAsia="zh-CN"/>
              </w:rPr>
              <w:t>10.18%</w:t>
            </w:r>
          </w:p>
        </w:tc>
        <w:tc>
          <w:tcPr>
            <w:tcW w:w="866" w:type="dxa"/>
            <w:vAlign w:val="center"/>
          </w:tcPr>
          <w:p>
            <w:pPr>
              <w:widowControl w:val="0"/>
              <w:jc w:val="center"/>
              <w:rPr>
                <w:sz w:val="18"/>
                <w:szCs w:val="18"/>
                <w:lang w:val="en-US" w:eastAsia="zh-CN"/>
              </w:rPr>
            </w:pPr>
            <w:r>
              <w:rPr>
                <w:rFonts w:hint="eastAsia"/>
                <w:sz w:val="18"/>
                <w:szCs w:val="18"/>
                <w:lang w:val="en-US" w:eastAsia="zh-CN"/>
              </w:rPr>
              <w:t>12.08%</w:t>
            </w:r>
          </w:p>
        </w:tc>
        <w:tc>
          <w:tcPr>
            <w:tcW w:w="866" w:type="dxa"/>
            <w:vAlign w:val="center"/>
          </w:tcPr>
          <w:p>
            <w:pPr>
              <w:widowControl w:val="0"/>
              <w:jc w:val="center"/>
              <w:rPr>
                <w:sz w:val="18"/>
                <w:szCs w:val="18"/>
                <w:lang w:val="en-US" w:eastAsia="zh-CN"/>
              </w:rPr>
            </w:pPr>
            <w:r>
              <w:rPr>
                <w:rFonts w:hint="eastAsia"/>
                <w:sz w:val="18"/>
                <w:szCs w:val="18"/>
                <w:lang w:val="en-US" w:eastAsia="zh-CN"/>
              </w:rPr>
              <w:t>11.66%</w:t>
            </w:r>
          </w:p>
        </w:tc>
        <w:tc>
          <w:tcPr>
            <w:tcW w:w="866" w:type="dxa"/>
            <w:vAlign w:val="center"/>
          </w:tcPr>
          <w:p>
            <w:pPr>
              <w:widowControl w:val="0"/>
              <w:jc w:val="center"/>
              <w:rPr>
                <w:sz w:val="18"/>
                <w:szCs w:val="18"/>
                <w:lang w:val="en-US" w:eastAsia="zh-CN"/>
              </w:rPr>
            </w:pPr>
            <w:r>
              <w:rPr>
                <w:rFonts w:hint="eastAsia"/>
                <w:sz w:val="18"/>
                <w:szCs w:val="18"/>
                <w:lang w:val="en-US" w:eastAsia="zh-CN"/>
              </w:rPr>
              <w:t>15.42%</w:t>
            </w:r>
          </w:p>
        </w:tc>
        <w:tc>
          <w:tcPr>
            <w:tcW w:w="866" w:type="dxa"/>
            <w:vAlign w:val="center"/>
          </w:tcPr>
          <w:p>
            <w:pPr>
              <w:widowControl w:val="0"/>
              <w:jc w:val="center"/>
              <w:rPr>
                <w:sz w:val="18"/>
                <w:szCs w:val="18"/>
                <w:lang w:val="en-US" w:eastAsia="zh-CN"/>
              </w:rPr>
            </w:pPr>
            <w:r>
              <w:rPr>
                <w:rFonts w:hint="eastAsia"/>
                <w:sz w:val="18"/>
                <w:szCs w:val="18"/>
                <w:lang w:val="en-US" w:eastAsia="zh-CN"/>
              </w:rPr>
              <w:t>11.86%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spacing w:after="0" w:line="260" w:lineRule="auto"/>
              <w:jc w:val="center"/>
              <w:rPr>
                <w:rFonts w:hint="eastAsia"/>
                <w:sz w:val="18"/>
                <w:szCs w:val="18"/>
                <w:lang w:val="en-US" w:eastAsia="zh-CN"/>
              </w:rPr>
            </w:pPr>
            <w:r>
              <w:rPr>
                <w:rFonts w:hint="eastAsia"/>
                <w:sz w:val="18"/>
                <w:szCs w:val="18"/>
                <w:lang w:val="en-US" w:eastAsia="zh-CN"/>
              </w:rPr>
              <w:t>160-100-</w:t>
            </w:r>
          </w:p>
          <w:p>
            <w:pPr>
              <w:widowControl w:val="0"/>
              <w:spacing w:after="0" w:line="260" w:lineRule="auto"/>
              <w:jc w:val="center"/>
              <w:rPr>
                <w:sz w:val="18"/>
                <w:szCs w:val="18"/>
                <w:lang w:val="en-US" w:eastAsia="zh-CN"/>
              </w:rPr>
            </w:pPr>
            <w:r>
              <w:rPr>
                <w:rFonts w:hint="eastAsia"/>
                <w:sz w:val="18"/>
                <w:szCs w:val="18"/>
                <w:lang w:val="en-US" w:eastAsia="zh-CN"/>
              </w:rPr>
              <w:t>8</w:t>
            </w:r>
          </w:p>
        </w:tc>
        <w:tc>
          <w:tcPr>
            <w:tcW w:w="699" w:type="dxa"/>
            <w:vAlign w:val="center"/>
          </w:tcPr>
          <w:p>
            <w:pPr>
              <w:widowControl w:val="0"/>
              <w:jc w:val="center"/>
              <w:rPr>
                <w:sz w:val="18"/>
                <w:szCs w:val="18"/>
                <w:lang w:val="en-US" w:eastAsia="zh-CN"/>
              </w:rPr>
            </w:pPr>
            <w:r>
              <w:rPr>
                <w:rFonts w:hint="eastAsia"/>
                <w:sz w:val="18"/>
                <w:szCs w:val="18"/>
                <w:lang w:val="en-US" w:eastAsia="zh-CN"/>
              </w:rPr>
              <w:t>40.15</w:t>
            </w:r>
          </w:p>
        </w:tc>
        <w:tc>
          <w:tcPr>
            <w:tcW w:w="866" w:type="dxa"/>
            <w:vAlign w:val="center"/>
          </w:tcPr>
          <w:p>
            <w:pPr>
              <w:widowControl w:val="0"/>
              <w:jc w:val="center"/>
              <w:rPr>
                <w:sz w:val="18"/>
                <w:szCs w:val="18"/>
                <w:lang w:val="en-US" w:eastAsia="zh-CN"/>
              </w:rPr>
            </w:pPr>
            <w:r>
              <w:rPr>
                <w:rFonts w:hint="eastAsia"/>
                <w:sz w:val="18"/>
                <w:szCs w:val="18"/>
                <w:lang w:val="en-US" w:eastAsia="zh-CN"/>
              </w:rPr>
              <w:t>37.56</w:t>
            </w:r>
          </w:p>
        </w:tc>
        <w:tc>
          <w:tcPr>
            <w:tcW w:w="866" w:type="dxa"/>
            <w:vAlign w:val="center"/>
          </w:tcPr>
          <w:p>
            <w:pPr>
              <w:widowControl w:val="0"/>
              <w:jc w:val="center"/>
              <w:rPr>
                <w:sz w:val="18"/>
                <w:szCs w:val="18"/>
                <w:lang w:val="en-US" w:eastAsia="zh-CN"/>
              </w:rPr>
            </w:pPr>
            <w:r>
              <w:rPr>
                <w:rFonts w:hint="eastAsia"/>
                <w:sz w:val="18"/>
                <w:szCs w:val="18"/>
                <w:lang w:val="en-US" w:eastAsia="zh-CN"/>
              </w:rPr>
              <w:t>37.14</w:t>
            </w:r>
          </w:p>
        </w:tc>
        <w:tc>
          <w:tcPr>
            <w:tcW w:w="866" w:type="dxa"/>
            <w:vAlign w:val="center"/>
          </w:tcPr>
          <w:p>
            <w:pPr>
              <w:widowControl w:val="0"/>
              <w:jc w:val="center"/>
              <w:rPr>
                <w:sz w:val="18"/>
                <w:szCs w:val="18"/>
                <w:lang w:val="en-US" w:eastAsia="zh-CN"/>
              </w:rPr>
            </w:pPr>
            <w:r>
              <w:rPr>
                <w:rFonts w:hint="eastAsia"/>
                <w:sz w:val="18"/>
                <w:szCs w:val="18"/>
                <w:lang w:val="en-US" w:eastAsia="zh-CN"/>
              </w:rPr>
              <w:t>37.153</w:t>
            </w:r>
          </w:p>
        </w:tc>
        <w:tc>
          <w:tcPr>
            <w:tcW w:w="866" w:type="dxa"/>
            <w:vAlign w:val="center"/>
          </w:tcPr>
          <w:p>
            <w:pPr>
              <w:widowControl w:val="0"/>
              <w:jc w:val="center"/>
              <w:rPr>
                <w:sz w:val="18"/>
                <w:szCs w:val="18"/>
                <w:lang w:val="en-US" w:eastAsia="zh-CN"/>
              </w:rPr>
            </w:pPr>
            <w:r>
              <w:rPr>
                <w:rFonts w:hint="eastAsia"/>
                <w:sz w:val="18"/>
                <w:szCs w:val="18"/>
                <w:lang w:val="en-US" w:eastAsia="zh-CN"/>
              </w:rPr>
              <w:t>36.27</w:t>
            </w:r>
          </w:p>
        </w:tc>
        <w:tc>
          <w:tcPr>
            <w:tcW w:w="866" w:type="dxa"/>
            <w:vAlign w:val="center"/>
          </w:tcPr>
          <w:p>
            <w:pPr>
              <w:widowControl w:val="0"/>
              <w:jc w:val="center"/>
              <w:rPr>
                <w:sz w:val="18"/>
                <w:szCs w:val="18"/>
                <w:lang w:val="en-US" w:eastAsia="zh-CN"/>
              </w:rPr>
            </w:pPr>
            <w:r>
              <w:rPr>
                <w:rFonts w:hint="eastAsia"/>
                <w:sz w:val="18"/>
                <w:szCs w:val="18"/>
                <w:lang w:val="en-US" w:eastAsia="zh-CN"/>
              </w:rPr>
              <w:t>37.145</w:t>
            </w:r>
          </w:p>
        </w:tc>
        <w:tc>
          <w:tcPr>
            <w:tcW w:w="866" w:type="dxa"/>
            <w:vAlign w:val="center"/>
          </w:tcPr>
          <w:p>
            <w:pPr>
              <w:widowControl w:val="0"/>
              <w:jc w:val="center"/>
              <w:rPr>
                <w:sz w:val="18"/>
                <w:szCs w:val="18"/>
                <w:lang w:val="en-US" w:eastAsia="zh-CN"/>
              </w:rPr>
            </w:pPr>
            <w:r>
              <w:rPr>
                <w:rFonts w:hint="eastAsia"/>
                <w:sz w:val="18"/>
                <w:szCs w:val="18"/>
                <w:lang w:val="en-US" w:eastAsia="zh-CN"/>
              </w:rPr>
              <w:t>6.43%</w:t>
            </w:r>
          </w:p>
        </w:tc>
        <w:tc>
          <w:tcPr>
            <w:tcW w:w="866" w:type="dxa"/>
            <w:vAlign w:val="center"/>
          </w:tcPr>
          <w:p>
            <w:pPr>
              <w:widowControl w:val="0"/>
              <w:jc w:val="center"/>
              <w:rPr>
                <w:sz w:val="18"/>
                <w:szCs w:val="18"/>
                <w:lang w:val="en-US" w:eastAsia="zh-CN"/>
              </w:rPr>
            </w:pPr>
            <w:r>
              <w:rPr>
                <w:rFonts w:hint="eastAsia"/>
                <w:sz w:val="18"/>
                <w:szCs w:val="18"/>
                <w:lang w:val="en-US" w:eastAsia="zh-CN"/>
              </w:rPr>
              <w:t>7.50%</w:t>
            </w:r>
          </w:p>
        </w:tc>
        <w:tc>
          <w:tcPr>
            <w:tcW w:w="866" w:type="dxa"/>
            <w:vAlign w:val="center"/>
          </w:tcPr>
          <w:p>
            <w:pPr>
              <w:widowControl w:val="0"/>
              <w:jc w:val="center"/>
              <w:rPr>
                <w:sz w:val="18"/>
                <w:szCs w:val="18"/>
                <w:lang w:val="en-US" w:eastAsia="zh-CN"/>
              </w:rPr>
            </w:pPr>
            <w:r>
              <w:rPr>
                <w:rFonts w:hint="eastAsia"/>
                <w:sz w:val="18"/>
                <w:szCs w:val="18"/>
                <w:lang w:val="en-US" w:eastAsia="zh-CN"/>
              </w:rPr>
              <w:t>7.45%</w:t>
            </w:r>
          </w:p>
        </w:tc>
        <w:tc>
          <w:tcPr>
            <w:tcW w:w="866" w:type="dxa"/>
            <w:vAlign w:val="center"/>
          </w:tcPr>
          <w:p>
            <w:pPr>
              <w:widowControl w:val="0"/>
              <w:jc w:val="center"/>
              <w:rPr>
                <w:sz w:val="18"/>
                <w:szCs w:val="18"/>
                <w:lang w:val="en-US" w:eastAsia="zh-CN"/>
              </w:rPr>
            </w:pPr>
            <w:r>
              <w:rPr>
                <w:rFonts w:hint="eastAsia"/>
                <w:sz w:val="18"/>
                <w:szCs w:val="18"/>
                <w:lang w:val="en-US" w:eastAsia="zh-CN"/>
              </w:rPr>
              <w:t>9.66%</w:t>
            </w:r>
          </w:p>
        </w:tc>
        <w:tc>
          <w:tcPr>
            <w:tcW w:w="866" w:type="dxa"/>
            <w:vAlign w:val="center"/>
          </w:tcPr>
          <w:p>
            <w:pPr>
              <w:widowControl w:val="0"/>
              <w:jc w:val="center"/>
              <w:rPr>
                <w:sz w:val="18"/>
                <w:szCs w:val="18"/>
                <w:lang w:val="en-US" w:eastAsia="zh-CN"/>
              </w:rPr>
            </w:pPr>
            <w:r>
              <w:rPr>
                <w:rFonts w:hint="eastAsia"/>
                <w:sz w:val="18"/>
                <w:szCs w:val="18"/>
                <w:lang w:val="en-US" w:eastAsia="zh-CN"/>
              </w:rPr>
              <w:t>7.47%</w:t>
            </w:r>
          </w:p>
        </w:tc>
      </w:tr>
    </w:tbl>
    <w:p>
      <w:pPr>
        <w:spacing w:after="60" w:line="260" w:lineRule="auto"/>
        <w:rPr>
          <w:rFonts w:hint="eastAsia"/>
          <w:lang w:val="en-US" w:eastAsia="zh-CN"/>
        </w:rPr>
      </w:pPr>
    </w:p>
    <w:p>
      <w:pPr>
        <w:spacing w:after="60" w:line="260" w:lineRule="auto"/>
        <w:jc w:val="both"/>
        <w:rPr>
          <w:lang w:val="en-US" w:eastAsia="zh-CN"/>
        </w:rPr>
      </w:pPr>
      <w:r>
        <w:rPr>
          <w:rFonts w:hint="eastAsia"/>
          <w:lang w:val="en-US" w:eastAsia="zh-CN"/>
        </w:rPr>
        <w:t>From the simulation results, the Scheme 4 has better power saving performance. This is because Scheme 4 can reduce the number of SSB/TRS/CSI_RS measurements.</w:t>
      </w:r>
    </w:p>
    <w:p>
      <w:pPr>
        <w:spacing w:after="60" w:line="260" w:lineRule="auto"/>
        <w:jc w:val="both"/>
        <w:rPr>
          <w:b/>
          <w:bCs/>
          <w:lang w:val="en-US" w:eastAsia="zh-CN"/>
        </w:rPr>
      </w:pPr>
      <w:r>
        <w:rPr>
          <w:rFonts w:hint="eastAsia"/>
          <w:b/>
          <w:bCs/>
          <w:lang w:val="en-US" w:eastAsia="zh-CN"/>
        </w:rPr>
        <w:t>Observation 8: T</w:t>
      </w:r>
      <w:r>
        <w:rPr>
          <w:rFonts w:hint="eastAsia"/>
          <w:b/>
          <w:bCs/>
          <w:sz w:val="20"/>
          <w:szCs w:val="20"/>
          <w:lang w:val="en-US" w:eastAsia="zh-CN"/>
        </w:rPr>
        <w:t>he two-level PS signal structure with the form of WUS1+WUS2 proposed by Scheme 4 have a better performance of power saving.</w:t>
      </w:r>
      <w:r>
        <w:rPr>
          <w:rFonts w:hint="eastAsia"/>
          <w:b/>
          <w:bCs/>
          <w:lang w:val="en-US" w:eastAsia="zh-CN"/>
        </w:rPr>
        <w:t xml:space="preserve"> </w:t>
      </w:r>
    </w:p>
    <w:p>
      <w:pPr>
        <w:spacing w:after="60" w:line="260" w:lineRule="auto"/>
        <w:jc w:val="both"/>
        <w:rPr>
          <w:b/>
          <w:bCs/>
          <w:lang w:val="en-US" w:eastAsia="zh-CN"/>
        </w:rPr>
      </w:pPr>
      <w:r>
        <w:rPr>
          <w:rFonts w:hint="eastAsia"/>
          <w:b/>
          <w:bCs/>
          <w:lang w:val="en-US" w:eastAsia="zh-CN"/>
        </w:rPr>
        <w:t>Proposal 4: T</w:t>
      </w:r>
      <w:r>
        <w:rPr>
          <w:rFonts w:hint="eastAsia"/>
          <w:b/>
          <w:bCs/>
          <w:sz w:val="20"/>
          <w:szCs w:val="20"/>
          <w:lang w:val="en-US" w:eastAsia="zh-CN"/>
        </w:rPr>
        <w:t xml:space="preserve">he two-level PS signal structure with the form of WUS1+WUS2 proposed by Scheme 4 </w:t>
      </w:r>
      <w:r>
        <w:rPr>
          <w:rFonts w:hint="eastAsia"/>
          <w:b/>
          <w:bCs/>
          <w:lang w:val="en-US" w:eastAsia="zh-CN"/>
        </w:rPr>
        <w:t>should be studied.</w:t>
      </w:r>
    </w:p>
    <w:p>
      <w:pPr>
        <w:spacing w:after="60" w:line="260" w:lineRule="auto"/>
        <w:jc w:val="both"/>
        <w:rPr>
          <w:b/>
          <w:bCs/>
          <w:lang w:val="en-US" w:eastAsia="zh-CN"/>
        </w:rPr>
      </w:pPr>
      <w:r>
        <w:rPr>
          <w:rFonts w:hint="eastAsia"/>
          <w:b/>
          <w:bCs/>
          <w:lang w:val="en-US" w:eastAsia="zh-CN"/>
        </w:rPr>
        <w:t>Proposal 5: The power consumption of wake-up signal/channel should be studied.</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Simulation results for</w:t>
      </w:r>
      <w:r>
        <w:rPr>
          <w:b/>
          <w:sz w:val="24"/>
          <w:szCs w:val="24"/>
          <w:lang w:val="en-US" w:eastAsia="zh-CN"/>
        </w:rPr>
        <w:t xml:space="preserve"> </w:t>
      </w:r>
      <w:r>
        <w:rPr>
          <w:rFonts w:hint="eastAsia"/>
          <w:b/>
          <w:sz w:val="24"/>
          <w:szCs w:val="24"/>
          <w:lang w:val="en-US" w:eastAsia="zh-CN"/>
        </w:rPr>
        <w:t>RRM measurement</w:t>
      </w:r>
    </w:p>
    <w:p>
      <w:pPr>
        <w:spacing w:after="120" w:line="260" w:lineRule="auto"/>
        <w:jc w:val="both"/>
        <w:textAlignment w:val="baseline"/>
        <w:rPr>
          <w:lang w:val="en-US" w:eastAsia="zh-CN" w:bidi="ar"/>
        </w:rPr>
      </w:pPr>
      <w:r>
        <w:rPr>
          <w:lang w:val="en-US" w:eastAsia="zh-CN" w:bidi="ar"/>
        </w:rPr>
        <w:t xml:space="preserve">In </w:t>
      </w:r>
      <w:r>
        <w:rPr>
          <w:rFonts w:hint="eastAsia"/>
          <w:lang w:val="en-US" w:eastAsia="zh-CN" w:bidi="ar"/>
        </w:rPr>
        <w:t>this section, we present the power consumption of RRM measurement</w:t>
      </w:r>
      <w:r>
        <w:rPr>
          <w:lang w:val="en-US" w:eastAsia="zh-CN" w:bidi="ar"/>
        </w:rPr>
        <w:t xml:space="preserve">. </w:t>
      </w:r>
      <w:r>
        <w:rPr>
          <w:rFonts w:hint="eastAsia"/>
          <w:lang w:val="en-US" w:eastAsia="zh-CN" w:bidi="ar"/>
        </w:rPr>
        <w:t>In our evaluation, FTP model 3(0.1 Mbytes packet size, mean inter-arrival time 200msec) is used. We assumed that the number of cells for intra-frequency measurement is 4(corresponding to 30 KHz SCS), and RRM measurement can be done within one slot. Furthermore, the minimum periodicity of neighbour cell search is 3 times the periodicity of intra-frequency measurement. It is worth noting that the simulation does not take into account the effect of the system performance for different RRM measurement period.</w:t>
      </w:r>
    </w:p>
    <w:p>
      <w:pPr>
        <w:spacing w:after="120" w:line="260" w:lineRule="auto"/>
        <w:jc w:val="both"/>
        <w:textAlignment w:val="baseline"/>
        <w:rPr>
          <w:lang w:val="en-US" w:eastAsia="zh-CN" w:bidi="ar"/>
        </w:rPr>
      </w:pPr>
      <w:r>
        <w:rPr>
          <w:rFonts w:hint="eastAsia"/>
          <w:lang w:val="en-US" w:eastAsia="zh-CN" w:bidi="ar"/>
        </w:rPr>
        <w:t>In the following, the evaluation results are provided.</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RRM </w:t>
      </w:r>
      <w:r>
        <w:rPr>
          <w:rFonts w:ascii="Times New Roman" w:hAnsi="Times New Roman"/>
          <w:b/>
          <w:bCs/>
          <w:sz w:val="24"/>
          <w:szCs w:val="24"/>
          <w:lang w:val="en-US" w:eastAsia="zh-CN" w:bidi="ar"/>
        </w:rPr>
        <w:t>measurement period</w:t>
      </w:r>
    </w:p>
    <w:p>
      <w:pPr>
        <w:spacing w:before="180" w:line="260" w:lineRule="auto"/>
        <w:jc w:val="both"/>
        <w:textAlignment w:val="baseline"/>
        <w:rPr>
          <w:lang w:val="en-US" w:eastAsia="zh-CN" w:bidi="ar"/>
        </w:rPr>
      </w:pPr>
      <w:r>
        <w:rPr>
          <w:rFonts w:hint="eastAsia"/>
          <w:u w:val="single"/>
          <w:lang w:val="en-US" w:eastAsia="zh-CN" w:bidi="ar"/>
        </w:rPr>
        <w:t>P</w:t>
      </w:r>
      <w:r>
        <w:rPr>
          <w:u w:val="single"/>
          <w:lang w:val="en-US" w:eastAsia="zh-CN" w:bidi="ar"/>
        </w:rPr>
        <w:t xml:space="preserve">ower consumption </w:t>
      </w:r>
      <w:r>
        <w:rPr>
          <w:rFonts w:hint="eastAsia"/>
          <w:u w:val="single"/>
          <w:lang w:val="en-US" w:eastAsia="zh-CN" w:bidi="ar"/>
        </w:rPr>
        <w:t xml:space="preserve">ratio of </w:t>
      </w:r>
      <w:r>
        <w:rPr>
          <w:u w:val="single"/>
          <w:lang w:val="en-US" w:eastAsia="zh-CN" w:bidi="ar"/>
        </w:rPr>
        <w:t>RRM measurement</w:t>
      </w:r>
      <w:r>
        <w:rPr>
          <w:lang w:val="en-US" w:eastAsia="zh-CN" w:bidi="ar"/>
        </w:rPr>
        <w:t xml:space="preserve"> </w:t>
      </w:r>
    </w:p>
    <w:p>
      <w:pPr>
        <w:spacing w:before="180" w:line="260" w:lineRule="auto"/>
        <w:jc w:val="both"/>
        <w:textAlignment w:val="baseline"/>
        <w:rPr>
          <w:lang w:val="en-US" w:eastAsia="zh-CN"/>
        </w:rPr>
      </w:pPr>
      <w:r>
        <w:rPr>
          <w:rFonts w:hint="eastAsia"/>
          <w:lang w:val="en-US" w:eastAsia="zh-CN"/>
        </w:rPr>
        <w:t>Figure</w:t>
      </w:r>
      <w:r>
        <w:rPr>
          <w:rFonts w:hint="eastAsia"/>
        </w:rPr>
        <w:t xml:space="preserve"> </w:t>
      </w:r>
      <w:r>
        <w:rPr>
          <w:rFonts w:hint="eastAsia"/>
          <w:lang w:val="en-US" w:eastAsia="zh-CN"/>
        </w:rPr>
        <w:t>6</w:t>
      </w:r>
      <w:r>
        <w:rPr>
          <w:rFonts w:hint="eastAsia"/>
        </w:rPr>
        <w:t xml:space="preserve"> shows the power consumption</w:t>
      </w:r>
      <w:r>
        <w:rPr>
          <w:rFonts w:hint="eastAsia"/>
          <w:lang w:val="en-US" w:eastAsia="zh-CN"/>
        </w:rPr>
        <w:t xml:space="preserve"> ratio</w:t>
      </w:r>
      <w:r>
        <w:rPr>
          <w:rFonts w:hint="eastAsia"/>
        </w:rPr>
        <w:t xml:space="preserve"> of RRM measurement </w:t>
      </w:r>
      <w:r>
        <w:rPr>
          <w:rFonts w:hint="eastAsia"/>
          <w:lang w:val="en-US" w:eastAsia="zh-CN"/>
        </w:rPr>
        <w:t>with</w:t>
      </w:r>
      <w:r>
        <w:rPr>
          <w:rFonts w:hint="eastAsia"/>
        </w:rPr>
        <w:t xml:space="preserve"> different </w:t>
      </w:r>
      <w:r>
        <w:rPr>
          <w:rFonts w:hint="eastAsia"/>
          <w:lang w:val="en-US" w:eastAsia="zh-CN"/>
        </w:rPr>
        <w:t>DRX</w:t>
      </w:r>
      <w:r>
        <w:rPr>
          <w:rFonts w:hint="eastAsia"/>
        </w:rPr>
        <w:t xml:space="preserve"> </w:t>
      </w:r>
      <w:r>
        <w:rPr>
          <w:rFonts w:hint="eastAsia"/>
          <w:lang w:val="en-US" w:eastAsia="zh-CN"/>
        </w:rPr>
        <w:t>configurations</w:t>
      </w:r>
      <w:r>
        <w:rPr>
          <w:rFonts w:hint="eastAsia"/>
        </w:rPr>
        <w:t xml:space="preserve"> and RRM measurement </w:t>
      </w:r>
      <w:r>
        <w:rPr>
          <w:rFonts w:hint="eastAsia"/>
          <w:lang w:val="en-US" w:eastAsia="zh-CN" w:bidi="ar"/>
        </w:rPr>
        <w:t>period</w:t>
      </w:r>
      <w:r>
        <w:rPr>
          <w:rFonts w:hint="eastAsia"/>
        </w:rPr>
        <w:t>.</w:t>
      </w:r>
      <w:r>
        <w:rPr>
          <w:rFonts w:hint="eastAsia"/>
          <w:lang w:val="en-US" w:eastAsia="zh-CN"/>
        </w:rPr>
        <w:t xml:space="preserve"> </w:t>
      </w:r>
    </w:p>
    <w:p>
      <w:pPr>
        <w:spacing w:before="180" w:line="260" w:lineRule="auto"/>
        <w:jc w:val="center"/>
        <w:textAlignment w:val="baseline"/>
      </w:pPr>
      <w:r>
        <w:rPr>
          <w:lang w:val="en-US" w:eastAsia="zh-CN"/>
        </w:rPr>
        <w:drawing>
          <wp:inline distT="0" distB="0" distL="114300" distR="114300">
            <wp:extent cx="4572000" cy="2743200"/>
            <wp:effectExtent l="4445" t="4445" r="14605" b="14605"/>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after="120" w:line="260" w:lineRule="auto"/>
        <w:jc w:val="center"/>
        <w:textAlignment w:val="baseline"/>
        <w:rPr>
          <w:lang w:val="en-US" w:eastAsia="zh-CN"/>
        </w:rPr>
      </w:pPr>
      <w:r>
        <w:rPr>
          <w:rFonts w:hint="eastAsia"/>
          <w:lang w:val="en-US" w:eastAsia="zh-CN"/>
        </w:rPr>
        <w:t>Figure 6 Power consumption ratio of RRM measurement</w:t>
      </w:r>
    </w:p>
    <w:p>
      <w:pPr>
        <w:spacing w:after="120" w:line="260" w:lineRule="auto"/>
        <w:jc w:val="both"/>
        <w:textAlignment w:val="baseline"/>
        <w:rPr>
          <w:lang w:val="en-US" w:eastAsia="zh-CN" w:bidi="ar"/>
        </w:rPr>
      </w:pPr>
      <w:r>
        <w:rPr>
          <w:lang w:val="en-US" w:eastAsia="zh-CN" w:bidi="ar"/>
        </w:rPr>
        <w:t>Based on the simulation results, we can draw the following observation.</w:t>
      </w:r>
    </w:p>
    <w:p>
      <w:pPr>
        <w:jc w:val="both"/>
        <w:rPr>
          <w:b/>
          <w:bCs/>
          <w:lang w:eastAsia="en-US" w:bidi="ar"/>
        </w:rPr>
      </w:pPr>
      <w:r>
        <w:rPr>
          <w:b/>
          <w:bCs/>
          <w:lang w:val="en-US" w:bidi="ar"/>
        </w:rPr>
        <w:t xml:space="preserve">Observation </w:t>
      </w:r>
      <w:r>
        <w:rPr>
          <w:rFonts w:hint="eastAsia"/>
          <w:b/>
          <w:bCs/>
          <w:lang w:val="en-US" w:eastAsia="zh-CN" w:bidi="ar"/>
        </w:rPr>
        <w:t>9</w:t>
      </w:r>
      <w:r>
        <w:rPr>
          <w:b/>
          <w:bCs/>
          <w:lang w:val="en-US" w:bidi="ar"/>
        </w:rPr>
        <w:t xml:space="preserve">: </w:t>
      </w:r>
      <w:r>
        <w:rPr>
          <w:rFonts w:hint="eastAsia"/>
          <w:b/>
          <w:bCs/>
          <w:lang w:val="en-US" w:bidi="ar"/>
        </w:rPr>
        <w:t>The longer the RRM measurement period is, the less power the RRM measurement consumes.</w:t>
      </w:r>
      <w:r>
        <w:rPr>
          <w:b/>
          <w:bCs/>
          <w:lang w:eastAsia="en-US" w:bidi="ar"/>
        </w:rPr>
        <w:t xml:space="preserve"> </w:t>
      </w:r>
    </w:p>
    <w:p>
      <w:pPr>
        <w:spacing w:before="180" w:line="260" w:lineRule="auto"/>
        <w:jc w:val="both"/>
        <w:textAlignment w:val="baseline"/>
        <w:rPr>
          <w:u w:val="single"/>
          <w:lang w:val="en-US" w:eastAsia="zh-CN" w:bidi="ar"/>
        </w:rPr>
      </w:pPr>
      <w:r>
        <w:rPr>
          <w:rFonts w:hint="eastAsia"/>
          <w:u w:val="single"/>
          <w:lang w:val="en-US" w:eastAsia="zh-CN" w:bidi="ar"/>
        </w:rPr>
        <w:t>Average power consumption</w:t>
      </w:r>
    </w:p>
    <w:p>
      <w:pPr>
        <w:spacing w:after="120" w:line="260" w:lineRule="auto"/>
        <w:jc w:val="both"/>
        <w:textAlignment w:val="baseline"/>
        <w:rPr>
          <w:lang w:val="en-US" w:eastAsia="zh-CN" w:bidi="ar"/>
        </w:rPr>
      </w:pPr>
      <w:r>
        <w:rPr>
          <w:lang w:val="en-US" w:eastAsia="zh-CN" w:bidi="ar"/>
        </w:rPr>
        <w:t xml:space="preserve">The average power </w:t>
      </w:r>
      <w:r>
        <w:rPr>
          <w:rFonts w:hint="eastAsia"/>
          <w:lang w:val="en-US" w:eastAsia="zh-CN" w:bidi="ar"/>
        </w:rPr>
        <w:t xml:space="preserve">consumption </w:t>
      </w:r>
      <w:r>
        <w:rPr>
          <w:lang w:val="en-US" w:eastAsia="zh-CN" w:bidi="ar"/>
        </w:rPr>
        <w:t>can be calculated as energy/</w:t>
      </w:r>
      <w:r>
        <w:rPr>
          <w:rFonts w:hint="eastAsia"/>
          <w:lang w:val="en-US" w:eastAsia="zh-CN" w:bidi="ar"/>
        </w:rPr>
        <w:t>slot</w:t>
      </w:r>
      <w:r>
        <w:rPr>
          <w:lang w:val="en-US" w:eastAsia="zh-CN" w:bidi="ar"/>
        </w:rPr>
        <w:t xml:space="preserve">. The calculation </w:t>
      </w:r>
      <w:r>
        <w:rPr>
          <w:rFonts w:hint="eastAsia"/>
          <w:lang w:val="en-US" w:eastAsia="zh-CN" w:bidi="ar"/>
        </w:rPr>
        <w:t xml:space="preserve">with </w:t>
      </w:r>
      <w:r>
        <w:rPr>
          <w:rFonts w:hint="eastAsia"/>
        </w:rPr>
        <w:t xml:space="preserve">different </w:t>
      </w:r>
      <w:r>
        <w:rPr>
          <w:rFonts w:hint="eastAsia"/>
          <w:lang w:val="en-US" w:eastAsia="zh-CN"/>
        </w:rPr>
        <w:t>DRX</w:t>
      </w:r>
      <w:r>
        <w:rPr>
          <w:rFonts w:hint="eastAsia"/>
        </w:rPr>
        <w:t xml:space="preserve"> </w:t>
      </w:r>
      <w:r>
        <w:rPr>
          <w:rFonts w:hint="eastAsia"/>
          <w:lang w:val="en-US" w:eastAsia="zh-CN"/>
        </w:rPr>
        <w:t>configurations</w:t>
      </w:r>
      <w:r>
        <w:rPr>
          <w:rFonts w:hint="eastAsia"/>
        </w:rPr>
        <w:t xml:space="preserve"> and RRM measurement</w:t>
      </w:r>
      <w:r>
        <w:rPr>
          <w:rFonts w:hint="eastAsia"/>
          <w:lang w:val="en-US" w:eastAsia="zh-CN"/>
        </w:rPr>
        <w:t xml:space="preserve"> </w:t>
      </w:r>
      <w:r>
        <w:rPr>
          <w:rFonts w:hint="eastAsia"/>
          <w:lang w:val="en-US" w:eastAsia="zh-CN" w:bidi="ar"/>
        </w:rPr>
        <w:t>period</w:t>
      </w:r>
      <w:r>
        <w:rPr>
          <w:lang w:val="en-US" w:eastAsia="zh-CN" w:bidi="ar"/>
        </w:rPr>
        <w:t xml:space="preserve"> is given in Table </w:t>
      </w:r>
      <w:r>
        <w:rPr>
          <w:rFonts w:hint="eastAsia"/>
          <w:lang w:val="en-US" w:eastAsia="zh-CN" w:bidi="ar"/>
        </w:rPr>
        <w:t xml:space="preserve">3 and </w:t>
      </w:r>
      <w:r>
        <w:rPr>
          <w:lang w:val="en-US" w:eastAsia="zh-CN" w:bidi="ar"/>
        </w:rPr>
        <w:t xml:space="preserve">Table </w:t>
      </w:r>
      <w:r>
        <w:rPr>
          <w:rFonts w:hint="eastAsia"/>
          <w:lang w:val="en-US" w:eastAsia="zh-CN" w:bidi="ar"/>
        </w:rPr>
        <w:t>4.</w:t>
      </w:r>
    </w:p>
    <w:p>
      <w:pPr>
        <w:spacing w:after="120" w:line="260" w:lineRule="auto"/>
        <w:jc w:val="center"/>
        <w:rPr>
          <w:lang w:val="en-US" w:eastAsia="zh-CN"/>
        </w:rPr>
      </w:pPr>
      <w:r>
        <w:rPr>
          <w:rFonts w:hint="eastAsia"/>
          <w:lang w:val="en-US" w:eastAsia="zh-CN"/>
        </w:rPr>
        <w:t>Table 3: Average power consumption (energy/slot)</w:t>
      </w:r>
    </w:p>
    <w:tbl>
      <w:tblPr>
        <w:tblStyle w:val="42"/>
        <w:tblW w:w="89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7"/>
        <w:gridCol w:w="1398"/>
        <w:gridCol w:w="1854"/>
        <w:gridCol w:w="1800"/>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47" w:type="dxa"/>
            <w:tcBorders>
              <w:top w:val="single" w:color="auto" w:sz="4" w:space="0"/>
              <w:left w:val="single" w:color="auto" w:sz="4" w:space="0"/>
              <w:bottom w:val="nil"/>
              <w:right w:val="single" w:color="auto" w:sz="4" w:space="0"/>
            </w:tcBorders>
          </w:tcPr>
          <w:p>
            <w:pPr>
              <w:spacing w:after="0" w:line="260" w:lineRule="auto"/>
              <w:jc w:val="right"/>
              <w:rPr>
                <w:b w:val="0"/>
                <w:bCs w:val="0"/>
                <w:lang w:val="en-US" w:eastAsia="zh-CN"/>
              </w:rPr>
            </w:pPr>
            <w:r>
              <w:rPr>
                <w:b w:val="0"/>
                <w:bCs w:val="0"/>
                <w:lang w:val="en-US" w:eastAsia="zh-CN"/>
              </w:rPr>
              <mc:AlternateContent>
                <mc:Choice Requires="wps">
                  <w:drawing>
                    <wp:anchor distT="0" distB="0" distL="114300" distR="114300" simplePos="0" relativeHeight="251735040" behindDoc="0" locked="0" layoutInCell="1" allowOverlap="1">
                      <wp:simplePos x="0" y="0"/>
                      <wp:positionH relativeFrom="column">
                        <wp:posOffset>-65405</wp:posOffset>
                      </wp:positionH>
                      <wp:positionV relativeFrom="paragraph">
                        <wp:posOffset>3175</wp:posOffset>
                      </wp:positionV>
                      <wp:extent cx="1289050" cy="321945"/>
                      <wp:effectExtent l="1270" t="4445" r="5080" b="16510"/>
                      <wp:wrapNone/>
                      <wp:docPr id="3" name="直接连接符 3"/>
                      <wp:cNvGraphicFramePr/>
                      <a:graphic xmlns:a="http://schemas.openxmlformats.org/drawingml/2006/main">
                        <a:graphicData uri="http://schemas.microsoft.com/office/word/2010/wordprocessingShape">
                          <wps:wsp>
                            <wps:cNvCnPr/>
                            <wps:spPr>
                              <a:xfrm>
                                <a:off x="0" y="0"/>
                                <a:ext cx="1289050" cy="32194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15pt;margin-top:0.25pt;height:25.35pt;width:101.5pt;z-index:251735040;mso-width-relative:page;mso-height-relative:page;" filled="f" stroked="t" coordsize="21600,21600" o:gfxdata="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nxp/nWAAAABwEAAA8AAAAAAAAAAQAgAAAA&#10;IgAAAGRycy9kb3ducmV2LnhtbFBLAQIUABQAAAAIAIdO4kCaXuw91AEAAI8DAAAOAAAAAAAAAAEA&#10;IAAAACUBAABkcnMvZTJvRG9jLnhtbFBLBQYAAAAABgAGAFkBAABrBQAAAAA=&#10;">
                      <v:fill on="f" focussize="0,0"/>
                      <v:stroke weight="0.25pt" color="#000000" joinstyle="round"/>
                      <v:imagedata o:title=""/>
                      <o:lock v:ext="edit" aspectratio="f"/>
                    </v:line>
                  </w:pict>
                </mc:Fallback>
              </mc:AlternateContent>
            </w:r>
            <w:r>
              <w:rPr>
                <w:rFonts w:hint="eastAsia"/>
                <w:b w:val="0"/>
                <w:bCs w:val="0"/>
                <w:lang w:val="en-US" w:eastAsia="zh-CN"/>
              </w:rPr>
              <w:t>RRM period</w:t>
            </w:r>
          </w:p>
        </w:tc>
        <w:tc>
          <w:tcPr>
            <w:tcW w:w="1398" w:type="dxa"/>
            <w:vMerge w:val="restart"/>
            <w:tcBorders>
              <w:left w:val="single" w:color="auto" w:sz="4" w:space="0"/>
            </w:tcBorders>
            <w:vAlign w:val="center"/>
          </w:tcPr>
          <w:p>
            <w:pPr>
              <w:spacing w:after="0" w:line="260" w:lineRule="auto"/>
              <w:jc w:val="center"/>
              <w:rPr>
                <w:b w:val="0"/>
                <w:bCs w:val="0"/>
                <w:lang w:val="en-US" w:eastAsia="zh-CN"/>
              </w:rPr>
            </w:pPr>
            <w:r>
              <w:rPr>
                <w:rFonts w:hint="eastAsia"/>
                <w:b w:val="0"/>
                <w:bCs w:val="0"/>
                <w:lang w:val="en-US" w:eastAsia="zh-CN"/>
              </w:rPr>
              <w:t>80mesc</w:t>
            </w:r>
          </w:p>
        </w:tc>
        <w:tc>
          <w:tcPr>
            <w:tcW w:w="1854" w:type="dxa"/>
            <w:vMerge w:val="restart"/>
            <w:vAlign w:val="center"/>
          </w:tcPr>
          <w:p>
            <w:pPr>
              <w:spacing w:after="0" w:line="260" w:lineRule="auto"/>
              <w:jc w:val="center"/>
              <w:rPr>
                <w:b w:val="0"/>
                <w:bCs w:val="0"/>
                <w:lang w:val="en-US" w:eastAsia="zh-CN"/>
              </w:rPr>
            </w:pPr>
            <w:r>
              <w:rPr>
                <w:rFonts w:hint="eastAsia"/>
                <w:b w:val="0"/>
                <w:bCs w:val="0"/>
                <w:lang w:val="en-US" w:eastAsia="zh-CN"/>
              </w:rPr>
              <w:t>160mesc</w:t>
            </w:r>
          </w:p>
        </w:tc>
        <w:tc>
          <w:tcPr>
            <w:tcW w:w="1800" w:type="dxa"/>
            <w:vMerge w:val="restart"/>
            <w:vAlign w:val="center"/>
          </w:tcPr>
          <w:p>
            <w:pPr>
              <w:spacing w:after="0" w:line="260" w:lineRule="auto"/>
              <w:jc w:val="center"/>
              <w:rPr>
                <w:b w:val="0"/>
                <w:bCs w:val="0"/>
                <w:lang w:val="en-US" w:eastAsia="zh-CN"/>
              </w:rPr>
            </w:pPr>
            <w:r>
              <w:rPr>
                <w:rFonts w:hint="eastAsia"/>
                <w:b w:val="0"/>
                <w:bCs w:val="0"/>
                <w:lang w:val="en-US" w:eastAsia="zh-CN"/>
              </w:rPr>
              <w:t>320mesc</w:t>
            </w:r>
          </w:p>
        </w:tc>
        <w:tc>
          <w:tcPr>
            <w:tcW w:w="1814" w:type="dxa"/>
            <w:vMerge w:val="restart"/>
            <w:vAlign w:val="center"/>
          </w:tcPr>
          <w:p>
            <w:pPr>
              <w:spacing w:after="0" w:line="260" w:lineRule="auto"/>
              <w:jc w:val="center"/>
              <w:rPr>
                <w:b w:val="0"/>
                <w:bCs w:val="0"/>
                <w:lang w:val="en-US" w:eastAsia="zh-CN"/>
              </w:rPr>
            </w:pPr>
            <w:r>
              <w:rPr>
                <w:rFonts w:hint="eastAsia"/>
                <w:b w:val="0"/>
                <w:bCs w:val="0"/>
                <w:lang w:val="en-US" w:eastAsia="zh-CN"/>
              </w:rPr>
              <w:t>640mesc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47" w:type="dxa"/>
            <w:tcBorders>
              <w:top w:val="nil"/>
              <w:left w:val="single" w:color="auto" w:sz="4" w:space="0"/>
              <w:bottom w:val="single" w:color="auto" w:sz="4" w:space="0"/>
              <w:right w:val="single" w:color="auto" w:sz="4" w:space="0"/>
            </w:tcBorders>
          </w:tcPr>
          <w:p>
            <w:pPr>
              <w:spacing w:after="0" w:line="260" w:lineRule="auto"/>
              <w:rPr>
                <w:b w:val="0"/>
                <w:bCs w:val="0"/>
                <w:lang w:val="en-US" w:eastAsia="zh-CN"/>
              </w:rPr>
            </w:pPr>
            <w:r>
              <w:rPr>
                <w:rFonts w:hint="eastAsia"/>
                <w:b w:val="0"/>
                <w:bCs w:val="0"/>
                <w:lang w:val="en-US" w:eastAsia="zh-CN"/>
              </w:rPr>
              <w:t>DRXconfiguration</w:t>
            </w:r>
          </w:p>
        </w:tc>
        <w:tc>
          <w:tcPr>
            <w:tcW w:w="1398" w:type="dxa"/>
            <w:vMerge w:val="continue"/>
            <w:tcBorders>
              <w:left w:val="single" w:color="auto" w:sz="4" w:space="0"/>
            </w:tcBorders>
            <w:vAlign w:val="center"/>
          </w:tcPr>
          <w:p>
            <w:pPr>
              <w:spacing w:after="0" w:line="260" w:lineRule="auto"/>
              <w:jc w:val="right"/>
              <w:rPr>
                <w:b w:val="0"/>
                <w:bCs w:val="0"/>
              </w:rPr>
            </w:pPr>
          </w:p>
        </w:tc>
        <w:tc>
          <w:tcPr>
            <w:tcW w:w="1854" w:type="dxa"/>
            <w:vMerge w:val="continue"/>
            <w:vAlign w:val="center"/>
          </w:tcPr>
          <w:p>
            <w:pPr>
              <w:spacing w:after="0" w:line="260" w:lineRule="auto"/>
              <w:jc w:val="right"/>
              <w:rPr>
                <w:b w:val="0"/>
                <w:bCs w:val="0"/>
              </w:rPr>
            </w:pPr>
          </w:p>
        </w:tc>
        <w:tc>
          <w:tcPr>
            <w:tcW w:w="1800" w:type="dxa"/>
            <w:vMerge w:val="continue"/>
            <w:vAlign w:val="center"/>
          </w:tcPr>
          <w:p>
            <w:pPr>
              <w:spacing w:after="0" w:line="260" w:lineRule="auto"/>
              <w:jc w:val="right"/>
              <w:rPr>
                <w:b w:val="0"/>
                <w:bCs w:val="0"/>
              </w:rPr>
            </w:pPr>
          </w:p>
        </w:tc>
        <w:tc>
          <w:tcPr>
            <w:tcW w:w="1814" w:type="dxa"/>
            <w:vMerge w:val="continue"/>
            <w:vAlign w:val="center"/>
          </w:tcPr>
          <w:p>
            <w:pPr>
              <w:spacing w:after="0" w:line="260" w:lineRule="auto"/>
              <w:jc w:val="right"/>
              <w:rPr>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2047" w:type="dxa"/>
            <w:tcBorders>
              <w:top w:val="single" w:color="auto" w:sz="4" w:space="0"/>
            </w:tcBorders>
            <w:vAlign w:val="center"/>
          </w:tcPr>
          <w:p>
            <w:pPr>
              <w:spacing w:after="0" w:line="260" w:lineRule="auto"/>
              <w:jc w:val="center"/>
              <w:rPr>
                <w:b w:val="0"/>
                <w:bCs w:val="0"/>
                <w:lang w:val="en-US" w:eastAsia="zh-CN"/>
              </w:rPr>
            </w:pPr>
            <w:r>
              <w:rPr>
                <w:rFonts w:hint="eastAsia"/>
                <w:b w:val="0"/>
                <w:bCs w:val="0"/>
                <w:lang w:val="en-US" w:eastAsia="zh-CN"/>
              </w:rPr>
              <w:t>160-10-8</w:t>
            </w:r>
          </w:p>
        </w:tc>
        <w:tc>
          <w:tcPr>
            <w:tcW w:w="1398" w:type="dxa"/>
            <w:vAlign w:val="center"/>
          </w:tcPr>
          <w:p>
            <w:pPr>
              <w:spacing w:after="0" w:line="260" w:lineRule="auto"/>
              <w:jc w:val="center"/>
              <w:rPr>
                <w:b w:val="0"/>
                <w:bCs w:val="0"/>
                <w:lang w:val="en-US" w:eastAsia="zh-CN"/>
              </w:rPr>
            </w:pPr>
            <w:r>
              <w:rPr>
                <w:rFonts w:hint="eastAsia"/>
                <w:b w:val="0"/>
                <w:bCs w:val="0"/>
                <w:lang w:val="en-US" w:eastAsia="zh-CN"/>
              </w:rPr>
              <w:t>9.91</w:t>
            </w:r>
          </w:p>
        </w:tc>
        <w:tc>
          <w:tcPr>
            <w:tcW w:w="1854" w:type="dxa"/>
            <w:vAlign w:val="center"/>
          </w:tcPr>
          <w:p>
            <w:pPr>
              <w:spacing w:after="0" w:line="260" w:lineRule="auto"/>
              <w:jc w:val="center"/>
              <w:rPr>
                <w:b w:val="0"/>
                <w:bCs w:val="0"/>
              </w:rPr>
            </w:pPr>
            <w:r>
              <w:rPr>
                <w:rFonts w:hint="eastAsia"/>
                <w:b w:val="0"/>
                <w:bCs w:val="0"/>
              </w:rPr>
              <w:t>8.88</w:t>
            </w:r>
          </w:p>
          <w:p>
            <w:pPr>
              <w:spacing w:after="0" w:line="260" w:lineRule="auto"/>
              <w:jc w:val="center"/>
              <w:rPr>
                <w:b w:val="0"/>
                <w:bCs w:val="0"/>
                <w:lang w:val="en-US" w:eastAsia="zh-CN"/>
              </w:rPr>
            </w:pPr>
            <w:r>
              <w:rPr>
                <w:rFonts w:hint="eastAsia"/>
                <w:b w:val="0"/>
                <w:bCs w:val="0"/>
                <w:lang w:val="en-US" w:eastAsia="zh-CN"/>
              </w:rPr>
              <w:t>10.4% reduction</w:t>
            </w:r>
          </w:p>
        </w:tc>
        <w:tc>
          <w:tcPr>
            <w:tcW w:w="1800" w:type="dxa"/>
            <w:vAlign w:val="center"/>
          </w:tcPr>
          <w:p>
            <w:pPr>
              <w:spacing w:after="0" w:line="260" w:lineRule="auto"/>
              <w:jc w:val="center"/>
              <w:rPr>
                <w:b w:val="0"/>
                <w:bCs w:val="0"/>
                <w:lang w:val="en-US" w:eastAsia="zh-CN"/>
              </w:rPr>
            </w:pPr>
            <w:r>
              <w:rPr>
                <w:rFonts w:hint="eastAsia"/>
                <w:b w:val="0"/>
                <w:bCs w:val="0"/>
              </w:rPr>
              <w:t>8.75</w:t>
            </w:r>
          </w:p>
          <w:p>
            <w:pPr>
              <w:spacing w:after="0" w:line="260" w:lineRule="auto"/>
              <w:jc w:val="center"/>
              <w:rPr>
                <w:b w:val="0"/>
                <w:bCs w:val="0"/>
                <w:lang w:val="en-US" w:eastAsia="zh-CN"/>
              </w:rPr>
            </w:pPr>
            <w:r>
              <w:rPr>
                <w:rFonts w:hint="eastAsia"/>
                <w:b w:val="0"/>
                <w:bCs w:val="0"/>
                <w:lang w:val="en-US" w:eastAsia="zh-CN"/>
              </w:rPr>
              <w:t>11.7% reduction</w:t>
            </w:r>
          </w:p>
        </w:tc>
        <w:tc>
          <w:tcPr>
            <w:tcW w:w="1814" w:type="dxa"/>
            <w:vAlign w:val="center"/>
          </w:tcPr>
          <w:p>
            <w:pPr>
              <w:spacing w:after="0" w:line="260" w:lineRule="auto"/>
              <w:jc w:val="center"/>
              <w:rPr>
                <w:b w:val="0"/>
                <w:bCs w:val="0"/>
                <w:lang w:val="en-US" w:eastAsia="zh-CN"/>
              </w:rPr>
            </w:pPr>
            <w:r>
              <w:rPr>
                <w:rFonts w:hint="eastAsia"/>
                <w:b w:val="0"/>
                <w:bCs w:val="0"/>
              </w:rPr>
              <w:t>8.69</w:t>
            </w:r>
          </w:p>
          <w:p>
            <w:pPr>
              <w:spacing w:after="0" w:line="260" w:lineRule="auto"/>
              <w:jc w:val="center"/>
              <w:rPr>
                <w:b w:val="0"/>
                <w:bCs w:val="0"/>
                <w:lang w:val="en-US" w:eastAsia="zh-CN"/>
              </w:rPr>
            </w:pPr>
            <w:r>
              <w:rPr>
                <w:rFonts w:hint="eastAsia"/>
                <w:b w:val="0"/>
                <w:bCs w:val="0"/>
                <w:lang w:val="en-US" w:eastAsia="zh-CN"/>
              </w:rPr>
              <w:t>12.3%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047" w:type="dxa"/>
            <w:vAlign w:val="center"/>
          </w:tcPr>
          <w:p>
            <w:pPr>
              <w:spacing w:after="0" w:line="260" w:lineRule="auto"/>
              <w:jc w:val="center"/>
              <w:rPr>
                <w:b w:val="0"/>
                <w:bCs w:val="0"/>
                <w:lang w:val="en-US" w:eastAsia="zh-CN"/>
              </w:rPr>
            </w:pPr>
            <w:r>
              <w:rPr>
                <w:rFonts w:hint="eastAsia"/>
                <w:b w:val="0"/>
                <w:bCs w:val="0"/>
                <w:lang w:val="en-US" w:eastAsia="zh-CN"/>
              </w:rPr>
              <w:t>320-10-10</w:t>
            </w:r>
          </w:p>
        </w:tc>
        <w:tc>
          <w:tcPr>
            <w:tcW w:w="1398" w:type="dxa"/>
            <w:vAlign w:val="center"/>
          </w:tcPr>
          <w:p>
            <w:pPr>
              <w:spacing w:after="0" w:line="260" w:lineRule="auto"/>
              <w:jc w:val="center"/>
              <w:rPr>
                <w:b w:val="0"/>
                <w:bCs w:val="0"/>
                <w:lang w:val="en-US" w:eastAsia="zh-CN"/>
              </w:rPr>
            </w:pPr>
            <w:r>
              <w:rPr>
                <w:rFonts w:hint="eastAsia"/>
                <w:b w:val="0"/>
                <w:bCs w:val="0"/>
              </w:rPr>
              <w:t>7.48</w:t>
            </w:r>
          </w:p>
        </w:tc>
        <w:tc>
          <w:tcPr>
            <w:tcW w:w="1854" w:type="dxa"/>
            <w:vAlign w:val="center"/>
          </w:tcPr>
          <w:p>
            <w:pPr>
              <w:spacing w:after="0" w:line="260" w:lineRule="auto"/>
              <w:jc w:val="center"/>
              <w:rPr>
                <w:b w:val="0"/>
                <w:bCs w:val="0"/>
              </w:rPr>
            </w:pPr>
            <w:r>
              <w:rPr>
                <w:rFonts w:hint="eastAsia"/>
                <w:b w:val="0"/>
                <w:bCs w:val="0"/>
              </w:rPr>
              <w:t>5.82</w:t>
            </w:r>
          </w:p>
          <w:p>
            <w:pPr>
              <w:spacing w:after="0" w:line="260" w:lineRule="auto"/>
              <w:jc w:val="center"/>
              <w:rPr>
                <w:b w:val="0"/>
                <w:bCs w:val="0"/>
                <w:lang w:val="en-US" w:eastAsia="zh-CN"/>
              </w:rPr>
            </w:pPr>
            <w:r>
              <w:rPr>
                <w:rFonts w:hint="eastAsia"/>
                <w:b w:val="0"/>
                <w:bCs w:val="0"/>
                <w:lang w:val="en-US" w:eastAsia="zh-CN"/>
              </w:rPr>
              <w:t>22.1 % reduction</w:t>
            </w:r>
          </w:p>
        </w:tc>
        <w:tc>
          <w:tcPr>
            <w:tcW w:w="1800" w:type="dxa"/>
            <w:vAlign w:val="center"/>
          </w:tcPr>
          <w:p>
            <w:pPr>
              <w:spacing w:after="0" w:line="260" w:lineRule="auto"/>
              <w:jc w:val="center"/>
              <w:rPr>
                <w:b w:val="0"/>
                <w:bCs w:val="0"/>
              </w:rPr>
            </w:pPr>
            <w:r>
              <w:rPr>
                <w:rFonts w:hint="eastAsia"/>
                <w:b w:val="0"/>
                <w:bCs w:val="0"/>
              </w:rPr>
              <w:t>5.36</w:t>
            </w:r>
          </w:p>
          <w:p>
            <w:pPr>
              <w:spacing w:after="0" w:line="260" w:lineRule="auto"/>
              <w:jc w:val="center"/>
              <w:rPr>
                <w:b w:val="0"/>
                <w:bCs w:val="0"/>
                <w:lang w:val="en-US" w:eastAsia="zh-CN"/>
              </w:rPr>
            </w:pPr>
            <w:r>
              <w:rPr>
                <w:rFonts w:hint="eastAsia"/>
                <w:b w:val="0"/>
                <w:bCs w:val="0"/>
                <w:lang w:val="en-US" w:eastAsia="zh-CN"/>
              </w:rPr>
              <w:t>28.4 % reduction</w:t>
            </w:r>
          </w:p>
        </w:tc>
        <w:tc>
          <w:tcPr>
            <w:tcW w:w="1814" w:type="dxa"/>
            <w:vAlign w:val="center"/>
          </w:tcPr>
          <w:p>
            <w:pPr>
              <w:spacing w:after="0" w:line="260" w:lineRule="auto"/>
              <w:jc w:val="center"/>
              <w:rPr>
                <w:b w:val="0"/>
                <w:bCs w:val="0"/>
              </w:rPr>
            </w:pPr>
            <w:r>
              <w:rPr>
                <w:rFonts w:hint="eastAsia"/>
                <w:b w:val="0"/>
                <w:bCs w:val="0"/>
              </w:rPr>
              <w:t>5.30</w:t>
            </w:r>
          </w:p>
          <w:p>
            <w:pPr>
              <w:spacing w:after="0" w:line="260" w:lineRule="auto"/>
              <w:jc w:val="center"/>
              <w:rPr>
                <w:b w:val="0"/>
                <w:bCs w:val="0"/>
                <w:lang w:val="en-US" w:eastAsia="zh-CN"/>
              </w:rPr>
            </w:pPr>
            <w:r>
              <w:rPr>
                <w:rFonts w:hint="eastAsia"/>
                <w:b w:val="0"/>
                <w:bCs w:val="0"/>
                <w:lang w:val="en-US" w:eastAsia="zh-CN"/>
              </w:rPr>
              <w:t>29.1 %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047" w:type="dxa"/>
            <w:vAlign w:val="center"/>
          </w:tcPr>
          <w:p>
            <w:pPr>
              <w:spacing w:after="0" w:line="260" w:lineRule="auto"/>
              <w:jc w:val="center"/>
              <w:rPr>
                <w:b w:val="0"/>
                <w:bCs w:val="0"/>
                <w:color w:val="auto"/>
                <w:lang w:val="en-US" w:eastAsia="zh-CN"/>
              </w:rPr>
            </w:pPr>
            <w:r>
              <w:rPr>
                <w:rFonts w:hint="eastAsia"/>
                <w:b w:val="0"/>
                <w:bCs w:val="0"/>
                <w:lang w:val="en-US" w:eastAsia="zh-CN"/>
              </w:rPr>
              <w:t>160-100-8</w:t>
            </w:r>
          </w:p>
        </w:tc>
        <w:tc>
          <w:tcPr>
            <w:tcW w:w="1398" w:type="dxa"/>
            <w:vAlign w:val="center"/>
          </w:tcPr>
          <w:p>
            <w:pPr>
              <w:spacing w:after="0" w:line="260" w:lineRule="auto"/>
              <w:jc w:val="center"/>
              <w:rPr>
                <w:b w:val="0"/>
                <w:bCs w:val="0"/>
                <w:color w:val="auto"/>
                <w:lang w:val="en-US" w:eastAsia="zh-CN"/>
              </w:rPr>
            </w:pPr>
            <w:r>
              <w:rPr>
                <w:rFonts w:hint="eastAsia"/>
                <w:b w:val="0"/>
                <w:bCs w:val="0"/>
              </w:rPr>
              <w:t>39.33</w:t>
            </w:r>
          </w:p>
        </w:tc>
        <w:tc>
          <w:tcPr>
            <w:tcW w:w="1854" w:type="dxa"/>
            <w:vAlign w:val="center"/>
          </w:tcPr>
          <w:p>
            <w:pPr>
              <w:spacing w:after="0" w:line="260" w:lineRule="auto"/>
              <w:jc w:val="center"/>
              <w:rPr>
                <w:b w:val="0"/>
                <w:bCs w:val="0"/>
              </w:rPr>
            </w:pPr>
            <w:r>
              <w:rPr>
                <w:rFonts w:hint="eastAsia"/>
                <w:b w:val="0"/>
                <w:bCs w:val="0"/>
              </w:rPr>
              <w:t>38.21</w:t>
            </w:r>
          </w:p>
          <w:p>
            <w:pPr>
              <w:spacing w:after="0" w:line="260" w:lineRule="auto"/>
              <w:jc w:val="center"/>
              <w:rPr>
                <w:b w:val="0"/>
                <w:bCs w:val="0"/>
                <w:color w:val="auto"/>
                <w:lang w:val="en-US" w:eastAsia="zh-CN"/>
              </w:rPr>
            </w:pPr>
            <w:r>
              <w:rPr>
                <w:rFonts w:hint="eastAsia"/>
                <w:b w:val="0"/>
                <w:bCs w:val="0"/>
                <w:lang w:val="en-US" w:eastAsia="zh-CN"/>
              </w:rPr>
              <w:t>2.8 % reduction</w:t>
            </w:r>
          </w:p>
        </w:tc>
        <w:tc>
          <w:tcPr>
            <w:tcW w:w="1800" w:type="dxa"/>
            <w:vAlign w:val="center"/>
          </w:tcPr>
          <w:p>
            <w:pPr>
              <w:spacing w:after="0" w:line="260" w:lineRule="auto"/>
              <w:jc w:val="center"/>
              <w:rPr>
                <w:b w:val="0"/>
                <w:bCs w:val="0"/>
              </w:rPr>
            </w:pPr>
            <w:r>
              <w:rPr>
                <w:rFonts w:hint="eastAsia"/>
                <w:b w:val="0"/>
                <w:bCs w:val="0"/>
              </w:rPr>
              <w:t>38.08</w:t>
            </w:r>
          </w:p>
          <w:p>
            <w:pPr>
              <w:spacing w:after="0" w:line="260" w:lineRule="auto"/>
              <w:jc w:val="center"/>
              <w:rPr>
                <w:b w:val="0"/>
                <w:bCs w:val="0"/>
                <w:color w:val="auto"/>
                <w:lang w:val="en-US" w:eastAsia="zh-CN"/>
              </w:rPr>
            </w:pPr>
            <w:r>
              <w:rPr>
                <w:rFonts w:hint="eastAsia"/>
                <w:b w:val="0"/>
                <w:bCs w:val="0"/>
                <w:lang w:val="en-US" w:eastAsia="zh-CN"/>
              </w:rPr>
              <w:t>3.2 % reduction</w:t>
            </w:r>
          </w:p>
        </w:tc>
        <w:tc>
          <w:tcPr>
            <w:tcW w:w="1814" w:type="dxa"/>
            <w:vAlign w:val="center"/>
          </w:tcPr>
          <w:p>
            <w:pPr>
              <w:spacing w:after="0" w:line="260" w:lineRule="auto"/>
              <w:jc w:val="center"/>
              <w:rPr>
                <w:b w:val="0"/>
                <w:bCs w:val="0"/>
              </w:rPr>
            </w:pPr>
            <w:r>
              <w:rPr>
                <w:rFonts w:hint="eastAsia"/>
                <w:b w:val="0"/>
                <w:bCs w:val="0"/>
              </w:rPr>
              <w:t>38.02</w:t>
            </w:r>
          </w:p>
          <w:p>
            <w:pPr>
              <w:spacing w:after="0" w:line="260" w:lineRule="auto"/>
              <w:jc w:val="center"/>
              <w:rPr>
                <w:b w:val="0"/>
                <w:bCs w:val="0"/>
                <w:color w:val="auto"/>
                <w:lang w:val="en-US" w:eastAsia="zh-CN"/>
              </w:rPr>
            </w:pPr>
            <w:r>
              <w:rPr>
                <w:rFonts w:hint="eastAsia"/>
                <w:b w:val="0"/>
                <w:bCs w:val="0"/>
                <w:lang w:val="en-US" w:eastAsia="zh-CN"/>
              </w:rPr>
              <w:t>3.3 % reduction</w:t>
            </w:r>
          </w:p>
        </w:tc>
      </w:tr>
    </w:tbl>
    <w:p>
      <w:pPr>
        <w:spacing w:after="120" w:line="260" w:lineRule="auto"/>
        <w:jc w:val="center"/>
        <w:rPr>
          <w:b/>
          <w:bCs/>
          <w:lang w:val="en-US" w:eastAsia="zh-CN"/>
        </w:rPr>
      </w:pPr>
    </w:p>
    <w:p>
      <w:pPr>
        <w:spacing w:after="120" w:line="260" w:lineRule="auto"/>
        <w:jc w:val="center"/>
        <w:rPr>
          <w:rFonts w:hint="eastAsia"/>
          <w:lang w:val="en-US" w:eastAsia="zh-CN"/>
        </w:rPr>
      </w:pPr>
    </w:p>
    <w:p>
      <w:pPr>
        <w:spacing w:after="120" w:line="260" w:lineRule="auto"/>
        <w:jc w:val="center"/>
        <w:rPr>
          <w:lang w:val="en-US" w:eastAsia="zh-CN"/>
        </w:rPr>
      </w:pPr>
      <w:r>
        <w:rPr>
          <w:rFonts w:hint="eastAsia"/>
          <w:lang w:val="en-US" w:eastAsia="zh-CN"/>
        </w:rPr>
        <w:t>Table 4: Average power consumption (energy/slot)</w:t>
      </w:r>
    </w:p>
    <w:tbl>
      <w:tblPr>
        <w:tblStyle w:val="42"/>
        <w:tblW w:w="73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752"/>
        <w:gridCol w:w="1862"/>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15" w:type="dxa"/>
            <w:tcBorders>
              <w:top w:val="single" w:color="auto" w:sz="4" w:space="0"/>
              <w:left w:val="single" w:color="auto" w:sz="4" w:space="0"/>
              <w:bottom w:val="nil"/>
              <w:right w:val="single" w:color="auto" w:sz="4" w:space="0"/>
            </w:tcBorders>
          </w:tcPr>
          <w:p>
            <w:pPr>
              <w:spacing w:after="0" w:line="260" w:lineRule="auto"/>
              <w:jc w:val="right"/>
              <w:rPr>
                <w:lang w:val="en-US" w:eastAsia="zh-CN"/>
              </w:rPr>
            </w:pPr>
            <w:r>
              <w:rPr>
                <w:b w:val="0"/>
                <w:bCs w:val="0"/>
                <w:lang w:val="en-US" w:eastAsia="zh-CN"/>
              </w:rPr>
              <mc:AlternateContent>
                <mc:Choice Requires="wps">
                  <w:drawing>
                    <wp:anchor distT="0" distB="0" distL="114300" distR="114300" simplePos="0" relativeHeight="251758592" behindDoc="0" locked="0" layoutInCell="1" allowOverlap="1">
                      <wp:simplePos x="0" y="0"/>
                      <wp:positionH relativeFrom="column">
                        <wp:posOffset>-65405</wp:posOffset>
                      </wp:positionH>
                      <wp:positionV relativeFrom="paragraph">
                        <wp:posOffset>3175</wp:posOffset>
                      </wp:positionV>
                      <wp:extent cx="1289050" cy="321945"/>
                      <wp:effectExtent l="1270" t="4445" r="5080" b="16510"/>
                      <wp:wrapNone/>
                      <wp:docPr id="18" name="直接连接符 18"/>
                      <wp:cNvGraphicFramePr/>
                      <a:graphic xmlns:a="http://schemas.openxmlformats.org/drawingml/2006/main">
                        <a:graphicData uri="http://schemas.microsoft.com/office/word/2010/wordprocessingShape">
                          <wps:wsp>
                            <wps:cNvCnPr/>
                            <wps:spPr>
                              <a:xfrm>
                                <a:off x="0" y="0"/>
                                <a:ext cx="1289050" cy="32194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15pt;margin-top:0.25pt;height:25.35pt;width:101.5pt;z-index:251758592;mso-width-relative:page;mso-height-relative:page;" filled="f" stroked="t" coordsize="21600,21600" o:gfxdata="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fGn+dYAAAAHAQAADwAAAAAAAAABACAA&#10;AAAiAAAAZHJzL2Rvd25yZXYueG1sUEsBAhQAFAAAAAgAh07iQAPGkCDWAQAAkQMAAA4AAAAAAAAA&#10;AQAgAAAAJQEAAGRycy9lMm9Eb2MueG1sUEsFBgAAAAAGAAYAWQEAAG0FAAAAAA==&#10;">
                      <v:fill on="f" focussize="0,0"/>
                      <v:stroke weight="0.25pt" color="#000000" joinstyle="round"/>
                      <v:imagedata o:title=""/>
                      <o:lock v:ext="edit" aspectratio="f"/>
                    </v:line>
                  </w:pict>
                </mc:Fallback>
              </mc:AlternateContent>
            </w:r>
            <w:r>
              <w:rPr>
                <w:rFonts w:hint="eastAsia"/>
                <w:b w:val="0"/>
                <w:bCs w:val="0"/>
                <w:lang w:val="en-US" w:eastAsia="zh-CN"/>
              </w:rPr>
              <w:t>RRM period</w:t>
            </w:r>
          </w:p>
        </w:tc>
        <w:tc>
          <w:tcPr>
            <w:tcW w:w="1752" w:type="dxa"/>
            <w:vMerge w:val="restart"/>
            <w:tcBorders>
              <w:left w:val="single" w:color="auto" w:sz="4" w:space="0"/>
            </w:tcBorders>
            <w:vAlign w:val="center"/>
          </w:tcPr>
          <w:p>
            <w:pPr>
              <w:spacing w:after="0" w:line="260" w:lineRule="auto"/>
              <w:jc w:val="center"/>
              <w:rPr>
                <w:b w:val="0"/>
                <w:bCs w:val="0"/>
                <w:lang w:val="en-US" w:eastAsia="zh-CN"/>
              </w:rPr>
            </w:pPr>
            <w:r>
              <w:rPr>
                <w:rFonts w:hint="eastAsia"/>
                <w:b w:val="0"/>
                <w:bCs w:val="0"/>
                <w:lang w:val="en-US" w:eastAsia="zh-CN"/>
              </w:rPr>
              <w:t>20mesc</w:t>
            </w:r>
          </w:p>
        </w:tc>
        <w:tc>
          <w:tcPr>
            <w:tcW w:w="1862" w:type="dxa"/>
            <w:vMerge w:val="restart"/>
            <w:vAlign w:val="center"/>
          </w:tcPr>
          <w:p>
            <w:pPr>
              <w:spacing w:after="0" w:line="260" w:lineRule="auto"/>
              <w:jc w:val="center"/>
              <w:rPr>
                <w:b w:val="0"/>
                <w:bCs w:val="0"/>
                <w:lang w:val="en-US" w:eastAsia="zh-CN"/>
              </w:rPr>
            </w:pPr>
            <w:r>
              <w:rPr>
                <w:rFonts w:hint="eastAsia"/>
                <w:b w:val="0"/>
                <w:bCs w:val="0"/>
                <w:lang w:val="en-US" w:eastAsia="zh-CN"/>
              </w:rPr>
              <w:t>40mesc</w:t>
            </w:r>
          </w:p>
        </w:tc>
        <w:tc>
          <w:tcPr>
            <w:tcW w:w="1738" w:type="dxa"/>
            <w:vMerge w:val="restart"/>
            <w:vAlign w:val="center"/>
          </w:tcPr>
          <w:p>
            <w:pPr>
              <w:spacing w:after="0" w:line="260" w:lineRule="auto"/>
              <w:jc w:val="center"/>
              <w:rPr>
                <w:b w:val="0"/>
                <w:bCs w:val="0"/>
                <w:lang w:val="en-US" w:eastAsia="zh-CN"/>
              </w:rPr>
            </w:pPr>
            <w:r>
              <w:rPr>
                <w:rFonts w:hint="eastAsia"/>
                <w:b w:val="0"/>
                <w:bCs w:val="0"/>
                <w:lang w:val="en-US" w:eastAsia="zh-CN"/>
              </w:rPr>
              <w:t>80mesc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15" w:type="dxa"/>
            <w:tcBorders>
              <w:top w:val="nil"/>
              <w:left w:val="single" w:color="auto" w:sz="4" w:space="0"/>
              <w:bottom w:val="single" w:color="auto" w:sz="4" w:space="0"/>
              <w:right w:val="single" w:color="auto" w:sz="4" w:space="0"/>
            </w:tcBorders>
          </w:tcPr>
          <w:p>
            <w:pPr>
              <w:spacing w:after="0" w:line="260" w:lineRule="auto"/>
              <w:rPr>
                <w:lang w:val="en-US" w:eastAsia="zh-CN"/>
              </w:rPr>
            </w:pPr>
            <w:r>
              <w:rPr>
                <w:rFonts w:hint="eastAsia"/>
                <w:b w:val="0"/>
                <w:bCs w:val="0"/>
                <w:lang w:val="en-US" w:eastAsia="zh-CN"/>
              </w:rPr>
              <w:t>DRXconfiguration</w:t>
            </w:r>
          </w:p>
        </w:tc>
        <w:tc>
          <w:tcPr>
            <w:tcW w:w="1752" w:type="dxa"/>
            <w:vMerge w:val="continue"/>
            <w:tcBorders>
              <w:left w:val="single" w:color="auto" w:sz="4" w:space="0"/>
            </w:tcBorders>
            <w:vAlign w:val="center"/>
          </w:tcPr>
          <w:p>
            <w:pPr>
              <w:spacing w:after="0" w:line="260" w:lineRule="auto"/>
              <w:jc w:val="right"/>
            </w:pPr>
          </w:p>
        </w:tc>
        <w:tc>
          <w:tcPr>
            <w:tcW w:w="1862" w:type="dxa"/>
            <w:vMerge w:val="continue"/>
            <w:vAlign w:val="center"/>
          </w:tcPr>
          <w:p>
            <w:pPr>
              <w:spacing w:after="0" w:line="260" w:lineRule="auto"/>
              <w:jc w:val="right"/>
            </w:pPr>
          </w:p>
        </w:tc>
        <w:tc>
          <w:tcPr>
            <w:tcW w:w="1738" w:type="dxa"/>
            <w:vMerge w:val="continue"/>
            <w:vAlign w:val="center"/>
          </w:tcPr>
          <w:p>
            <w:pPr>
              <w:spacing w:after="0" w:line="260" w:lineRule="auto"/>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015" w:type="dxa"/>
            <w:vAlign w:val="center"/>
          </w:tcPr>
          <w:p>
            <w:pPr>
              <w:spacing w:after="0" w:line="260" w:lineRule="auto"/>
              <w:jc w:val="center"/>
              <w:rPr>
                <w:color w:val="auto"/>
                <w:lang w:val="en-US" w:eastAsia="zh-CN"/>
              </w:rPr>
            </w:pPr>
            <w:r>
              <w:rPr>
                <w:rFonts w:hint="eastAsia"/>
                <w:b w:val="0"/>
                <w:bCs w:val="0"/>
                <w:lang w:val="en-US" w:eastAsia="zh-CN"/>
              </w:rPr>
              <w:t>40-10-4</w:t>
            </w:r>
          </w:p>
        </w:tc>
        <w:tc>
          <w:tcPr>
            <w:tcW w:w="1752" w:type="dxa"/>
            <w:vAlign w:val="center"/>
          </w:tcPr>
          <w:p>
            <w:pPr>
              <w:spacing w:after="0" w:line="260" w:lineRule="auto"/>
              <w:jc w:val="center"/>
              <w:rPr>
                <w:color w:val="auto"/>
                <w:lang w:val="en-US" w:eastAsia="zh-CN"/>
              </w:rPr>
            </w:pPr>
            <w:r>
              <w:rPr>
                <w:rFonts w:hint="eastAsia"/>
                <w:lang w:val="en-US" w:eastAsia="zh-CN"/>
              </w:rPr>
              <w:t>30.68</w:t>
            </w:r>
          </w:p>
        </w:tc>
        <w:tc>
          <w:tcPr>
            <w:tcW w:w="1862" w:type="dxa"/>
            <w:vAlign w:val="center"/>
          </w:tcPr>
          <w:p>
            <w:pPr>
              <w:spacing w:after="0" w:line="260" w:lineRule="auto"/>
              <w:jc w:val="center"/>
            </w:pPr>
            <w:r>
              <w:rPr>
                <w:rFonts w:hint="eastAsia"/>
              </w:rPr>
              <w:t>21.31</w:t>
            </w:r>
          </w:p>
          <w:p>
            <w:pPr>
              <w:spacing w:after="0" w:line="260" w:lineRule="auto"/>
              <w:jc w:val="center"/>
              <w:rPr>
                <w:lang w:val="en-US" w:eastAsia="zh-CN"/>
              </w:rPr>
            </w:pPr>
            <w:r>
              <w:rPr>
                <w:rFonts w:hint="eastAsia"/>
                <w:lang w:val="en-US" w:eastAsia="zh-CN"/>
              </w:rPr>
              <w:t>30.6% reduction</w:t>
            </w:r>
          </w:p>
        </w:tc>
        <w:tc>
          <w:tcPr>
            <w:tcW w:w="1738" w:type="dxa"/>
            <w:vAlign w:val="center"/>
          </w:tcPr>
          <w:p>
            <w:pPr>
              <w:spacing w:after="0" w:line="260" w:lineRule="auto"/>
              <w:jc w:val="center"/>
            </w:pPr>
            <w:r>
              <w:rPr>
                <w:rFonts w:hint="eastAsia"/>
              </w:rPr>
              <w:t>20.76</w:t>
            </w:r>
          </w:p>
          <w:p>
            <w:pPr>
              <w:spacing w:after="0" w:line="260" w:lineRule="auto"/>
              <w:jc w:val="center"/>
              <w:rPr>
                <w:lang w:val="en-US" w:eastAsia="zh-CN"/>
              </w:rPr>
            </w:pPr>
            <w:r>
              <w:rPr>
                <w:rFonts w:hint="eastAsia"/>
                <w:lang w:val="en-US" w:eastAsia="zh-CN"/>
              </w:rPr>
              <w:t>31.9 % reduction</w:t>
            </w:r>
          </w:p>
        </w:tc>
      </w:tr>
    </w:tbl>
    <w:p>
      <w:pPr>
        <w:spacing w:after="120" w:line="260" w:lineRule="auto"/>
        <w:jc w:val="center"/>
        <w:rPr>
          <w:b/>
          <w:bCs/>
          <w:lang w:val="en-US" w:eastAsia="zh-CN"/>
        </w:rPr>
      </w:pPr>
    </w:p>
    <w:p>
      <w:pPr>
        <w:spacing w:after="120" w:line="260" w:lineRule="auto"/>
        <w:jc w:val="both"/>
        <w:textAlignment w:val="baseline"/>
        <w:rPr>
          <w:lang w:val="en-US" w:eastAsia="zh-CN" w:bidi="ar"/>
        </w:rPr>
      </w:pPr>
      <w:r>
        <w:rPr>
          <w:rFonts w:hint="eastAsia"/>
          <w:lang w:val="en-US" w:eastAsia="zh-CN" w:bidi="ar"/>
        </w:rPr>
        <w:t xml:space="preserve">From the cases above, we have the following observations and proposal. </w:t>
      </w:r>
    </w:p>
    <w:p>
      <w:pPr>
        <w:spacing w:after="120" w:line="260" w:lineRule="auto"/>
        <w:jc w:val="both"/>
        <w:textAlignment w:val="baseline"/>
        <w:rPr>
          <w:b/>
          <w:bCs/>
          <w:lang w:val="en-US" w:bidi="ar"/>
        </w:rPr>
      </w:pPr>
      <w:r>
        <w:rPr>
          <w:b/>
          <w:bCs/>
          <w:lang w:val="en-US" w:bidi="ar"/>
        </w:rPr>
        <w:t>Observation</w:t>
      </w:r>
      <w:r>
        <w:rPr>
          <w:rFonts w:hint="eastAsia"/>
          <w:b/>
          <w:bCs/>
          <w:lang w:val="en-US" w:eastAsia="zh-CN" w:bidi="ar"/>
        </w:rPr>
        <w:t xml:space="preserve"> 10</w:t>
      </w:r>
      <w:r>
        <w:rPr>
          <w:b/>
          <w:bCs/>
          <w:lang w:val="en-US" w:bidi="ar"/>
        </w:rPr>
        <w:t xml:space="preserve">: </w:t>
      </w:r>
      <w:r>
        <w:rPr>
          <w:rFonts w:hint="eastAsia"/>
          <w:b/>
          <w:bCs/>
          <w:lang w:val="en-US" w:bidi="ar"/>
        </w:rPr>
        <w:t xml:space="preserve">Increasing the RRM measurement </w:t>
      </w:r>
      <w:r>
        <w:rPr>
          <w:rFonts w:hint="eastAsia"/>
          <w:b/>
          <w:bCs/>
          <w:lang w:val="en-US" w:eastAsia="zh-CN" w:bidi="ar"/>
        </w:rPr>
        <w:t>period</w:t>
      </w:r>
      <w:r>
        <w:rPr>
          <w:rFonts w:hint="eastAsia"/>
          <w:b/>
          <w:bCs/>
          <w:lang w:val="en-US" w:bidi="ar"/>
        </w:rPr>
        <w:t xml:space="preserve"> can reduce the average power consumption of the </w:t>
      </w:r>
      <w:r>
        <w:rPr>
          <w:rFonts w:hint="eastAsia"/>
          <w:b/>
          <w:bCs/>
          <w:lang w:val="en-US" w:eastAsia="zh-CN" w:bidi="ar"/>
        </w:rPr>
        <w:t>UE</w:t>
      </w:r>
      <w:r>
        <w:rPr>
          <w:rFonts w:hint="eastAsia"/>
          <w:b/>
          <w:bCs/>
          <w:lang w:val="en-US" w:bidi="ar"/>
        </w:rPr>
        <w:t>.</w:t>
      </w:r>
    </w:p>
    <w:p>
      <w:pPr>
        <w:spacing w:after="120" w:line="260" w:lineRule="auto"/>
        <w:jc w:val="both"/>
        <w:textAlignment w:val="baseline"/>
        <w:rPr>
          <w:b/>
          <w:bCs/>
          <w:lang w:val="en-US" w:eastAsia="zh-CN" w:bidi="ar"/>
        </w:rPr>
      </w:pPr>
      <w:r>
        <w:rPr>
          <w:rFonts w:hint="eastAsia"/>
          <w:b/>
          <w:bCs/>
          <w:lang w:val="en-US" w:eastAsia="zh-CN" w:bidi="ar"/>
        </w:rPr>
        <w:t>Observation 11: When the DRX-Inactivity timer is configured with a large value, the power consumption ratio of RRM measurement is very small. Increase the measurement period, the power saving gain is not obvious.</w:t>
      </w:r>
    </w:p>
    <w:p>
      <w:pPr>
        <w:spacing w:after="120" w:line="260" w:lineRule="auto"/>
        <w:jc w:val="both"/>
        <w:textAlignment w:val="baseline"/>
        <w:rPr>
          <w:b/>
          <w:bCs/>
          <w:lang w:val="en-US" w:eastAsia="zh-CN" w:bidi="ar"/>
        </w:rPr>
      </w:pPr>
      <w:r>
        <w:rPr>
          <w:rFonts w:hint="eastAsia"/>
          <w:b/>
          <w:bCs/>
          <w:lang w:val="en-US" w:eastAsia="zh-CN" w:bidi="ar"/>
        </w:rPr>
        <w:t>Observation 12: When the RRM measurement period is greater than the DRX period, with the measurement period is increasing, and the power saving effect is no longer obvious.</w:t>
      </w:r>
    </w:p>
    <w:p>
      <w:pPr>
        <w:spacing w:after="120" w:line="260" w:lineRule="auto"/>
        <w:jc w:val="both"/>
        <w:textAlignment w:val="baseline"/>
        <w:rPr>
          <w:b/>
          <w:bCs/>
          <w:lang w:val="en-US" w:eastAsia="zh-CN" w:bidi="ar"/>
        </w:rPr>
      </w:pPr>
      <w:r>
        <w:rPr>
          <w:rFonts w:hint="eastAsia"/>
          <w:b/>
          <w:bCs/>
          <w:lang w:val="en-US" w:eastAsia="zh-CN" w:bidi="ar"/>
        </w:rPr>
        <w:t>Proposal 6: The RRM measurement period can be increased appropriately, but the period should not be greater than the DRX period.</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RRM </w:t>
      </w:r>
      <w:r>
        <w:rPr>
          <w:rFonts w:ascii="Times New Roman" w:hAnsi="Times New Roman"/>
          <w:b/>
          <w:bCs/>
          <w:sz w:val="24"/>
          <w:szCs w:val="24"/>
          <w:lang w:val="en-US" w:eastAsia="zh-CN" w:bidi="ar"/>
        </w:rPr>
        <w:t xml:space="preserve">measurement </w:t>
      </w:r>
      <w:r>
        <w:rPr>
          <w:rFonts w:hint="eastAsia" w:ascii="Times New Roman" w:hAnsi="Times New Roman"/>
          <w:b/>
          <w:bCs/>
          <w:sz w:val="24"/>
          <w:szCs w:val="24"/>
          <w:lang w:val="en-US" w:eastAsia="zh-CN" w:bidi="ar"/>
        </w:rPr>
        <w:t>with additional signal</w:t>
      </w:r>
    </w:p>
    <w:p>
      <w:pPr>
        <w:pStyle w:val="34"/>
        <w:spacing w:after="0"/>
        <w:jc w:val="both"/>
        <w:rPr>
          <w:sz w:val="20"/>
          <w:szCs w:val="20"/>
          <w:lang w:eastAsia="zh-CN" w:bidi="ar"/>
        </w:rPr>
      </w:pPr>
      <w:r>
        <w:rPr>
          <w:rFonts w:hint="eastAsia"/>
          <w:sz w:val="20"/>
          <w:szCs w:val="20"/>
          <w:lang w:val="en-US" w:eastAsia="zh-CN"/>
        </w:rPr>
        <w:t xml:space="preserve">If </w:t>
      </w:r>
      <w:bookmarkStart w:id="4" w:name="OLE_LINK14"/>
      <w:r>
        <w:rPr>
          <w:rFonts w:hint="eastAsia"/>
          <w:sz w:val="20"/>
          <w:szCs w:val="20"/>
          <w:lang w:val="en-US" w:eastAsia="zh-CN"/>
        </w:rPr>
        <w:t>additional signal</w:t>
      </w:r>
      <w:bookmarkEnd w:id="4"/>
      <w:r>
        <w:rPr>
          <w:rFonts w:hint="eastAsia"/>
          <w:sz w:val="20"/>
          <w:szCs w:val="20"/>
          <w:lang w:eastAsia="zh-CN"/>
        </w:rPr>
        <w:t xml:space="preserve"> were used for RRM measurement, the </w:t>
      </w:r>
      <w:r>
        <w:rPr>
          <w:sz w:val="20"/>
          <w:szCs w:val="20"/>
          <w:lang w:eastAsia="zh-CN" w:bidi="ar"/>
        </w:rPr>
        <w:t xml:space="preserve">average power </w:t>
      </w:r>
      <w:r>
        <w:rPr>
          <w:rFonts w:hint="eastAsia"/>
          <w:sz w:val="20"/>
          <w:szCs w:val="20"/>
          <w:lang w:eastAsia="zh-CN" w:bidi="ar"/>
        </w:rPr>
        <w:t xml:space="preserve">consumption of system </w:t>
      </w:r>
      <w:r>
        <w:rPr>
          <w:rFonts w:hint="eastAsia"/>
          <w:sz w:val="20"/>
          <w:szCs w:val="20"/>
          <w:lang w:val="en-US" w:eastAsia="zh-CN" w:bidi="ar"/>
        </w:rPr>
        <w:t xml:space="preserve">may </w:t>
      </w:r>
      <w:r>
        <w:rPr>
          <w:sz w:val="20"/>
          <w:szCs w:val="20"/>
          <w:lang w:eastAsia="zh-CN" w:bidi="ar"/>
        </w:rPr>
        <w:t>be</w:t>
      </w:r>
      <w:r>
        <w:rPr>
          <w:rFonts w:hint="eastAsia"/>
          <w:sz w:val="20"/>
          <w:szCs w:val="20"/>
          <w:lang w:eastAsia="zh-CN" w:bidi="ar"/>
        </w:rPr>
        <w:t xml:space="preserve"> reduced. The evaluation is shown in Table 5.</w:t>
      </w:r>
    </w:p>
    <w:p>
      <w:pPr>
        <w:pStyle w:val="34"/>
        <w:spacing w:after="0"/>
        <w:jc w:val="center"/>
        <w:rPr>
          <w:sz w:val="20"/>
          <w:szCs w:val="20"/>
          <w:lang w:eastAsia="zh-CN" w:bidi="ar"/>
        </w:rPr>
      </w:pPr>
      <w:r>
        <w:rPr>
          <w:rFonts w:hint="eastAsia"/>
          <w:sz w:val="20"/>
          <w:szCs w:val="20"/>
          <w:lang w:eastAsia="zh-CN" w:bidi="ar"/>
        </w:rPr>
        <w:t xml:space="preserve">Table 5: Average power consumption with </w:t>
      </w:r>
      <w:r>
        <w:rPr>
          <w:rFonts w:hint="eastAsia"/>
          <w:sz w:val="20"/>
          <w:szCs w:val="20"/>
          <w:lang w:val="en-US" w:eastAsia="zh-CN"/>
        </w:rPr>
        <w:t>additional signal</w:t>
      </w:r>
    </w:p>
    <w:tbl>
      <w:tblPr>
        <w:tblStyle w:val="42"/>
        <w:tblW w:w="90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1210"/>
        <w:gridCol w:w="1682"/>
        <w:gridCol w:w="1768"/>
        <w:gridCol w:w="164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jc w:val="center"/>
        </w:trPr>
        <w:tc>
          <w:tcPr>
            <w:tcW w:w="2317" w:type="dxa"/>
            <w:gridSpan w:val="2"/>
            <w:tcBorders>
              <w:bottom w:val="nil"/>
            </w:tcBorders>
          </w:tcPr>
          <w:p>
            <w:pPr>
              <w:spacing w:after="0" w:line="260" w:lineRule="auto"/>
              <w:jc w:val="right"/>
              <w:rPr>
                <w:lang w:val="en-US" w:eastAsia="zh-CN"/>
              </w:rPr>
            </w:pPr>
            <w:r>
              <w:rPr>
                <w:b w:val="0"/>
                <w:bCs w:val="0"/>
                <w:lang w:val="en-US" w:eastAsia="zh-CN"/>
              </w:rPr>
              <mc:AlternateContent>
                <mc:Choice Requires="wps">
                  <w:drawing>
                    <wp:anchor distT="0" distB="0" distL="114300" distR="114300" simplePos="0" relativeHeight="251801600" behindDoc="0" locked="0" layoutInCell="1" allowOverlap="1">
                      <wp:simplePos x="0" y="0"/>
                      <wp:positionH relativeFrom="column">
                        <wp:posOffset>-65405</wp:posOffset>
                      </wp:positionH>
                      <wp:positionV relativeFrom="paragraph">
                        <wp:posOffset>3175</wp:posOffset>
                      </wp:positionV>
                      <wp:extent cx="1468120" cy="311785"/>
                      <wp:effectExtent l="1270" t="4445" r="16510" b="7620"/>
                      <wp:wrapNone/>
                      <wp:docPr id="21" name="直接连接符 21"/>
                      <wp:cNvGraphicFramePr/>
                      <a:graphic xmlns:a="http://schemas.openxmlformats.org/drawingml/2006/main">
                        <a:graphicData uri="http://schemas.microsoft.com/office/word/2010/wordprocessingShape">
                          <wps:wsp>
                            <wps:cNvCnPr/>
                            <wps:spPr>
                              <a:xfrm>
                                <a:off x="0" y="0"/>
                                <a:ext cx="1468120" cy="31178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15pt;margin-top:0.25pt;height:24.55pt;width:115.6pt;z-index:251801600;mso-width-relative:page;mso-height-relative:page;" filled="f" stroked="t" coordsize="21600,21600" o:gfxdata="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lMLINcAAAAHAQAADwAAAAAAAAABACAA&#10;AAAiAAAAZHJzL2Rvd25yZXYueG1sUEsBAhQAFAAAAAgAh07iQDz2wuvVAQAAkQMAAA4AAAAAAAAA&#10;AQAgAAAAJgEAAGRycy9lMm9Eb2MueG1sUEsFBgAAAAAGAAYAWQEAAG0FAAAAAA==&#10;">
                      <v:fill on="f" focussize="0,0"/>
                      <v:stroke weight="0.25pt" color="#000000" joinstyle="round"/>
                      <v:imagedata o:title=""/>
                      <o:lock v:ext="edit" aspectratio="f"/>
                    </v:line>
                  </w:pict>
                </mc:Fallback>
              </mc:AlternateContent>
            </w:r>
            <w:r>
              <w:rPr>
                <w:rFonts w:hint="eastAsia"/>
                <w:b w:val="0"/>
                <w:bCs w:val="0"/>
                <w:lang w:val="en-US" w:eastAsia="zh-CN"/>
              </w:rPr>
              <w:t>RRM period</w:t>
            </w:r>
          </w:p>
        </w:tc>
        <w:tc>
          <w:tcPr>
            <w:tcW w:w="1682" w:type="dxa"/>
            <w:vMerge w:val="restart"/>
            <w:vAlign w:val="center"/>
          </w:tcPr>
          <w:p>
            <w:pPr>
              <w:spacing w:after="0" w:line="260" w:lineRule="auto"/>
              <w:jc w:val="center"/>
              <w:rPr>
                <w:lang w:val="en-US" w:eastAsia="zh-CN"/>
              </w:rPr>
            </w:pPr>
            <w:r>
              <w:rPr>
                <w:rFonts w:hint="eastAsia"/>
                <w:b w:val="0"/>
                <w:bCs w:val="0"/>
                <w:lang w:val="en-US" w:eastAsia="zh-CN"/>
              </w:rPr>
              <w:t>80mesc</w:t>
            </w:r>
          </w:p>
        </w:tc>
        <w:tc>
          <w:tcPr>
            <w:tcW w:w="1768" w:type="dxa"/>
            <w:vMerge w:val="restart"/>
            <w:vAlign w:val="center"/>
          </w:tcPr>
          <w:p>
            <w:pPr>
              <w:spacing w:after="0" w:line="260" w:lineRule="auto"/>
              <w:jc w:val="center"/>
              <w:rPr>
                <w:lang w:val="en-US" w:eastAsia="zh-CN"/>
              </w:rPr>
            </w:pPr>
            <w:r>
              <w:rPr>
                <w:rFonts w:hint="eastAsia"/>
                <w:b w:val="0"/>
                <w:bCs w:val="0"/>
                <w:lang w:val="en-US" w:eastAsia="zh-CN"/>
              </w:rPr>
              <w:t>160mesc</w:t>
            </w:r>
          </w:p>
        </w:tc>
        <w:tc>
          <w:tcPr>
            <w:tcW w:w="1640" w:type="dxa"/>
            <w:vMerge w:val="restart"/>
            <w:vAlign w:val="center"/>
          </w:tcPr>
          <w:p>
            <w:pPr>
              <w:spacing w:after="0" w:line="260" w:lineRule="auto"/>
              <w:jc w:val="center"/>
              <w:rPr>
                <w:lang w:val="en-US" w:eastAsia="zh-CN"/>
              </w:rPr>
            </w:pPr>
            <w:r>
              <w:rPr>
                <w:rFonts w:hint="eastAsia"/>
                <w:b w:val="0"/>
                <w:bCs w:val="0"/>
                <w:lang w:val="en-US" w:eastAsia="zh-CN"/>
              </w:rPr>
              <w:t>320mesc</w:t>
            </w:r>
          </w:p>
        </w:tc>
        <w:tc>
          <w:tcPr>
            <w:tcW w:w="1610" w:type="dxa"/>
            <w:vMerge w:val="restart"/>
            <w:vAlign w:val="center"/>
          </w:tcPr>
          <w:p>
            <w:pPr>
              <w:spacing w:after="0" w:line="260" w:lineRule="auto"/>
              <w:jc w:val="center"/>
              <w:rPr>
                <w:lang w:val="en-US" w:eastAsia="zh-CN"/>
              </w:rPr>
            </w:pPr>
            <w:r>
              <w:rPr>
                <w:rFonts w:hint="eastAsia"/>
                <w:b w:val="0"/>
                <w:bCs w:val="0"/>
                <w:lang w:val="en-US" w:eastAsia="zh-CN"/>
              </w:rPr>
              <w:t>640mesc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jc w:val="center"/>
        </w:trPr>
        <w:tc>
          <w:tcPr>
            <w:tcW w:w="2317" w:type="dxa"/>
            <w:gridSpan w:val="2"/>
            <w:tcBorders>
              <w:top w:val="nil"/>
            </w:tcBorders>
          </w:tcPr>
          <w:p>
            <w:pPr>
              <w:spacing w:after="0" w:line="260" w:lineRule="auto"/>
              <w:rPr>
                <w:b w:val="0"/>
                <w:bCs w:val="0"/>
              </w:rPr>
            </w:pPr>
            <w:r>
              <w:rPr>
                <w:rFonts w:hint="eastAsia"/>
                <w:b w:val="0"/>
                <w:bCs w:val="0"/>
                <w:lang w:val="en-US" w:eastAsia="zh-CN"/>
              </w:rPr>
              <w:t>DRXconfiguration</w:t>
            </w:r>
          </w:p>
        </w:tc>
        <w:tc>
          <w:tcPr>
            <w:tcW w:w="1682" w:type="dxa"/>
            <w:vMerge w:val="continue"/>
            <w:vAlign w:val="center"/>
          </w:tcPr>
          <w:p>
            <w:pPr>
              <w:spacing w:after="0" w:line="260" w:lineRule="auto"/>
              <w:jc w:val="right"/>
              <w:rPr>
                <w:b w:val="0"/>
                <w:bCs w:val="0"/>
              </w:rPr>
            </w:pPr>
          </w:p>
        </w:tc>
        <w:tc>
          <w:tcPr>
            <w:tcW w:w="1768" w:type="dxa"/>
            <w:vMerge w:val="continue"/>
            <w:vAlign w:val="center"/>
          </w:tcPr>
          <w:p>
            <w:pPr>
              <w:spacing w:after="0" w:line="260" w:lineRule="auto"/>
              <w:jc w:val="right"/>
              <w:rPr>
                <w:b w:val="0"/>
                <w:bCs w:val="0"/>
              </w:rPr>
            </w:pPr>
          </w:p>
        </w:tc>
        <w:tc>
          <w:tcPr>
            <w:tcW w:w="1640" w:type="dxa"/>
            <w:vMerge w:val="continue"/>
            <w:vAlign w:val="center"/>
          </w:tcPr>
          <w:p>
            <w:pPr>
              <w:spacing w:after="0" w:line="260" w:lineRule="auto"/>
              <w:jc w:val="right"/>
              <w:rPr>
                <w:b w:val="0"/>
                <w:bCs w:val="0"/>
              </w:rPr>
            </w:pPr>
          </w:p>
        </w:tc>
        <w:tc>
          <w:tcPr>
            <w:tcW w:w="1610" w:type="dxa"/>
            <w:vMerge w:val="continue"/>
            <w:vAlign w:val="center"/>
          </w:tcPr>
          <w:p>
            <w:pPr>
              <w:spacing w:after="0" w:line="260" w:lineRule="auto"/>
              <w:jc w:val="right"/>
              <w:rPr>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107" w:type="dxa"/>
            <w:vMerge w:val="restart"/>
            <w:vAlign w:val="center"/>
          </w:tcPr>
          <w:p>
            <w:pPr>
              <w:spacing w:after="0" w:line="260" w:lineRule="auto"/>
              <w:jc w:val="center"/>
              <w:rPr>
                <w:b w:val="0"/>
                <w:bCs w:val="0"/>
                <w:lang w:val="en-US" w:eastAsia="zh-CN"/>
              </w:rPr>
            </w:pPr>
            <w:r>
              <w:rPr>
                <w:rFonts w:hint="eastAsia"/>
                <w:b w:val="0"/>
                <w:bCs w:val="0"/>
                <w:lang w:val="en-US" w:eastAsia="zh-CN"/>
              </w:rPr>
              <w:t>160-10-8</w:t>
            </w:r>
          </w:p>
        </w:tc>
        <w:tc>
          <w:tcPr>
            <w:tcW w:w="1210" w:type="dxa"/>
            <w:vAlign w:val="center"/>
          </w:tcPr>
          <w:p>
            <w:pPr>
              <w:spacing w:after="0" w:line="260" w:lineRule="auto"/>
              <w:jc w:val="center"/>
              <w:rPr>
                <w:b w:val="0"/>
                <w:bCs w:val="0"/>
                <w:lang w:val="en-US" w:eastAsia="zh-CN"/>
              </w:rPr>
            </w:pPr>
            <w:r>
              <w:rPr>
                <w:rFonts w:hint="eastAsia"/>
                <w:b w:val="0"/>
                <w:bCs w:val="0"/>
                <w:lang w:val="en-US" w:eastAsia="zh-CN"/>
              </w:rPr>
              <w:t>No WUS</w:t>
            </w:r>
          </w:p>
        </w:tc>
        <w:tc>
          <w:tcPr>
            <w:tcW w:w="1682" w:type="dxa"/>
            <w:vAlign w:val="center"/>
          </w:tcPr>
          <w:p>
            <w:pPr>
              <w:spacing w:after="0" w:line="260" w:lineRule="auto"/>
              <w:jc w:val="center"/>
              <w:rPr>
                <w:lang w:val="en-US" w:eastAsia="zh-CN"/>
              </w:rPr>
            </w:pPr>
            <w:r>
              <w:rPr>
                <w:rFonts w:hint="eastAsia"/>
                <w:lang w:val="en-US" w:eastAsia="zh-CN"/>
              </w:rPr>
              <w:t>9.91</w:t>
            </w:r>
          </w:p>
        </w:tc>
        <w:tc>
          <w:tcPr>
            <w:tcW w:w="1768" w:type="dxa"/>
            <w:vAlign w:val="center"/>
          </w:tcPr>
          <w:p>
            <w:pPr>
              <w:spacing w:after="0" w:line="260" w:lineRule="auto"/>
              <w:jc w:val="center"/>
              <w:rPr>
                <w:lang w:val="en-US" w:eastAsia="zh-CN"/>
              </w:rPr>
            </w:pPr>
            <w:r>
              <w:rPr>
                <w:rFonts w:hint="eastAsia"/>
              </w:rPr>
              <w:t>8.88</w:t>
            </w:r>
          </w:p>
        </w:tc>
        <w:tc>
          <w:tcPr>
            <w:tcW w:w="1640" w:type="dxa"/>
            <w:vAlign w:val="center"/>
          </w:tcPr>
          <w:p>
            <w:pPr>
              <w:spacing w:after="0" w:line="260" w:lineRule="auto"/>
              <w:jc w:val="center"/>
              <w:rPr>
                <w:lang w:val="en-US" w:eastAsia="zh-CN"/>
              </w:rPr>
            </w:pPr>
            <w:r>
              <w:rPr>
                <w:rFonts w:hint="eastAsia"/>
              </w:rPr>
              <w:t>8.7</w:t>
            </w:r>
            <w:r>
              <w:rPr>
                <w:rFonts w:hint="eastAsia"/>
                <w:lang w:val="en-US" w:eastAsia="zh-CN"/>
              </w:rPr>
              <w:t>6</w:t>
            </w:r>
          </w:p>
        </w:tc>
        <w:tc>
          <w:tcPr>
            <w:tcW w:w="1610" w:type="dxa"/>
            <w:vAlign w:val="center"/>
          </w:tcPr>
          <w:p>
            <w:pPr>
              <w:spacing w:after="0" w:line="260" w:lineRule="auto"/>
              <w:jc w:val="center"/>
              <w:rPr>
                <w:lang w:val="en-US" w:eastAsia="zh-CN"/>
              </w:rPr>
            </w:pPr>
            <w:r>
              <w:rPr>
                <w:rFonts w:hint="eastAsia"/>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1107" w:type="dxa"/>
            <w:vMerge w:val="continue"/>
            <w:vAlign w:val="center"/>
          </w:tcPr>
          <w:p>
            <w:pPr>
              <w:spacing w:after="0" w:line="260" w:lineRule="auto"/>
              <w:jc w:val="center"/>
              <w:rPr>
                <w:lang w:val="en-US" w:eastAsia="zh-CN"/>
              </w:rPr>
            </w:pPr>
          </w:p>
        </w:tc>
        <w:tc>
          <w:tcPr>
            <w:tcW w:w="1210" w:type="dxa"/>
            <w:vAlign w:val="center"/>
          </w:tcPr>
          <w:p>
            <w:pPr>
              <w:spacing w:after="0" w:line="260" w:lineRule="auto"/>
              <w:jc w:val="center"/>
              <w:rPr>
                <w:b w:val="0"/>
                <w:bCs w:val="0"/>
                <w:lang w:val="en-US" w:eastAsia="zh-CN"/>
              </w:rPr>
            </w:pPr>
            <w:r>
              <w:rPr>
                <w:rFonts w:hint="eastAsia"/>
                <w:b w:val="0"/>
                <w:bCs w:val="0"/>
                <w:lang w:val="en-US" w:eastAsia="zh-CN"/>
              </w:rPr>
              <w:t>With WUS</w:t>
            </w:r>
          </w:p>
        </w:tc>
        <w:tc>
          <w:tcPr>
            <w:tcW w:w="1682" w:type="dxa"/>
            <w:vAlign w:val="center"/>
          </w:tcPr>
          <w:p>
            <w:pPr>
              <w:spacing w:after="0" w:line="260" w:lineRule="auto"/>
              <w:jc w:val="center"/>
              <w:rPr>
                <w:lang w:val="en-US" w:eastAsia="zh-CN"/>
              </w:rPr>
            </w:pPr>
            <w:r>
              <w:rPr>
                <w:rFonts w:hint="eastAsia"/>
              </w:rPr>
              <w:t>9.79</w:t>
            </w:r>
          </w:p>
          <w:p>
            <w:pPr>
              <w:spacing w:after="0" w:line="260" w:lineRule="auto"/>
              <w:jc w:val="center"/>
              <w:rPr>
                <w:lang w:val="en-US" w:eastAsia="zh-CN"/>
              </w:rPr>
            </w:pPr>
            <w:r>
              <w:rPr>
                <w:rFonts w:hint="eastAsia"/>
                <w:lang w:val="en-US" w:eastAsia="zh-CN"/>
              </w:rPr>
              <w:t>1.3% reduction</w:t>
            </w:r>
          </w:p>
        </w:tc>
        <w:tc>
          <w:tcPr>
            <w:tcW w:w="1768" w:type="dxa"/>
            <w:vAlign w:val="center"/>
          </w:tcPr>
          <w:p>
            <w:pPr>
              <w:spacing w:after="0" w:line="260" w:lineRule="auto"/>
              <w:jc w:val="center"/>
              <w:rPr>
                <w:lang w:val="en-US" w:eastAsia="zh-CN"/>
              </w:rPr>
            </w:pPr>
            <w:r>
              <w:rPr>
                <w:rFonts w:hint="eastAsia"/>
              </w:rPr>
              <w:t>8.82</w:t>
            </w:r>
          </w:p>
          <w:p>
            <w:pPr>
              <w:spacing w:after="0" w:line="260" w:lineRule="auto"/>
              <w:jc w:val="center"/>
              <w:rPr>
                <w:lang w:val="en-US" w:eastAsia="zh-CN"/>
              </w:rPr>
            </w:pPr>
            <w:r>
              <w:rPr>
                <w:rFonts w:hint="eastAsia"/>
                <w:lang w:val="en-US" w:eastAsia="zh-CN"/>
              </w:rPr>
              <w:t>0.63% reduction</w:t>
            </w:r>
          </w:p>
        </w:tc>
        <w:tc>
          <w:tcPr>
            <w:tcW w:w="1640" w:type="dxa"/>
            <w:vAlign w:val="center"/>
          </w:tcPr>
          <w:p>
            <w:pPr>
              <w:spacing w:after="0" w:line="260" w:lineRule="auto"/>
              <w:jc w:val="center"/>
              <w:rPr>
                <w:lang w:val="en-US" w:eastAsia="zh-CN"/>
              </w:rPr>
            </w:pPr>
            <w:r>
              <w:rPr>
                <w:rFonts w:hint="eastAsia"/>
              </w:rPr>
              <w:t>8.7290</w:t>
            </w:r>
          </w:p>
          <w:p>
            <w:pPr>
              <w:spacing w:after="0" w:line="260" w:lineRule="auto"/>
              <w:jc w:val="center"/>
              <w:rPr>
                <w:lang w:val="en-US" w:eastAsia="zh-CN"/>
              </w:rPr>
            </w:pPr>
            <w:r>
              <w:rPr>
                <w:rFonts w:hint="eastAsia"/>
                <w:lang w:val="en-US" w:eastAsia="zh-CN"/>
              </w:rPr>
              <w:t>0.32% reduction</w:t>
            </w:r>
          </w:p>
        </w:tc>
        <w:tc>
          <w:tcPr>
            <w:tcW w:w="1610" w:type="dxa"/>
            <w:vAlign w:val="center"/>
          </w:tcPr>
          <w:p>
            <w:pPr>
              <w:spacing w:after="0" w:line="260" w:lineRule="auto"/>
              <w:jc w:val="center"/>
              <w:rPr>
                <w:lang w:val="en-US" w:eastAsia="zh-CN"/>
              </w:rPr>
            </w:pPr>
            <w:r>
              <w:rPr>
                <w:rFonts w:hint="eastAsia"/>
                <w:lang w:val="en-US" w:eastAsia="zh-CN"/>
              </w:rPr>
              <w:t>8.68</w:t>
            </w:r>
          </w:p>
          <w:p>
            <w:pPr>
              <w:spacing w:after="0" w:line="260" w:lineRule="auto"/>
              <w:jc w:val="center"/>
              <w:rPr>
                <w:lang w:val="en-US" w:eastAsia="zh-CN"/>
              </w:rPr>
            </w:pPr>
            <w:r>
              <w:rPr>
                <w:rFonts w:hint="eastAsia"/>
                <w:lang w:val="en-US" w:eastAsia="zh-CN"/>
              </w:rPr>
              <w:t>0.16%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1107" w:type="dxa"/>
            <w:vMerge w:val="restart"/>
            <w:vAlign w:val="center"/>
          </w:tcPr>
          <w:p>
            <w:pPr>
              <w:spacing w:after="0" w:line="260" w:lineRule="auto"/>
              <w:jc w:val="center"/>
              <w:rPr>
                <w:b w:val="0"/>
                <w:bCs w:val="0"/>
                <w:color w:val="auto"/>
                <w:lang w:val="en-US" w:eastAsia="zh-CN"/>
              </w:rPr>
            </w:pPr>
            <w:r>
              <w:rPr>
                <w:rFonts w:hint="eastAsia"/>
                <w:b w:val="0"/>
                <w:bCs w:val="0"/>
                <w:lang w:val="en-US" w:eastAsia="zh-CN"/>
              </w:rPr>
              <w:t>160-100-8</w:t>
            </w:r>
          </w:p>
        </w:tc>
        <w:tc>
          <w:tcPr>
            <w:tcW w:w="1210" w:type="dxa"/>
            <w:vAlign w:val="center"/>
          </w:tcPr>
          <w:p>
            <w:pPr>
              <w:spacing w:after="0" w:line="260" w:lineRule="auto"/>
              <w:jc w:val="center"/>
              <w:rPr>
                <w:b w:val="0"/>
                <w:bCs w:val="0"/>
                <w:lang w:val="en-US" w:eastAsia="zh-CN"/>
              </w:rPr>
            </w:pPr>
            <w:r>
              <w:rPr>
                <w:rFonts w:hint="eastAsia"/>
                <w:b w:val="0"/>
                <w:bCs w:val="0"/>
                <w:lang w:val="en-US" w:eastAsia="zh-CN"/>
              </w:rPr>
              <w:t>No WUS</w:t>
            </w:r>
          </w:p>
        </w:tc>
        <w:tc>
          <w:tcPr>
            <w:tcW w:w="1682" w:type="dxa"/>
            <w:vAlign w:val="center"/>
          </w:tcPr>
          <w:p>
            <w:pPr>
              <w:spacing w:after="0" w:line="260" w:lineRule="auto"/>
              <w:ind w:firstLine="420"/>
              <w:rPr>
                <w:lang w:val="en-US" w:eastAsia="zh-CN"/>
              </w:rPr>
            </w:pPr>
            <w:r>
              <w:rPr>
                <w:rFonts w:hint="eastAsia"/>
              </w:rPr>
              <w:t>39.33</w:t>
            </w:r>
          </w:p>
        </w:tc>
        <w:tc>
          <w:tcPr>
            <w:tcW w:w="1768" w:type="dxa"/>
            <w:vAlign w:val="center"/>
          </w:tcPr>
          <w:p>
            <w:pPr>
              <w:spacing w:after="0" w:line="260" w:lineRule="auto"/>
              <w:jc w:val="center"/>
              <w:rPr>
                <w:lang w:val="en-US" w:eastAsia="zh-CN"/>
              </w:rPr>
            </w:pPr>
            <w:r>
              <w:rPr>
                <w:rFonts w:hint="eastAsia"/>
              </w:rPr>
              <w:t>38.2</w:t>
            </w:r>
            <w:r>
              <w:rPr>
                <w:rFonts w:hint="eastAsia"/>
                <w:lang w:val="en-US" w:eastAsia="zh-CN"/>
              </w:rPr>
              <w:t>2</w:t>
            </w:r>
          </w:p>
        </w:tc>
        <w:tc>
          <w:tcPr>
            <w:tcW w:w="1640" w:type="dxa"/>
            <w:vAlign w:val="center"/>
          </w:tcPr>
          <w:p>
            <w:pPr>
              <w:spacing w:after="0" w:line="260" w:lineRule="auto"/>
              <w:jc w:val="center"/>
              <w:rPr>
                <w:lang w:val="en-US" w:eastAsia="zh-CN"/>
              </w:rPr>
            </w:pPr>
            <w:r>
              <w:rPr>
                <w:rFonts w:hint="eastAsia"/>
              </w:rPr>
              <w:t>38.0</w:t>
            </w:r>
            <w:r>
              <w:rPr>
                <w:rFonts w:hint="eastAsia"/>
                <w:lang w:val="en-US" w:eastAsia="zh-CN"/>
              </w:rPr>
              <w:t>9</w:t>
            </w:r>
          </w:p>
        </w:tc>
        <w:tc>
          <w:tcPr>
            <w:tcW w:w="1610" w:type="dxa"/>
            <w:vAlign w:val="center"/>
          </w:tcPr>
          <w:p>
            <w:pPr>
              <w:spacing w:after="0" w:line="260" w:lineRule="auto"/>
              <w:jc w:val="center"/>
              <w:rPr>
                <w:lang w:val="en-US" w:eastAsia="zh-CN"/>
              </w:rPr>
            </w:pPr>
            <w:r>
              <w:rPr>
                <w:rFonts w:hint="eastAsia"/>
              </w:rPr>
              <w:t>38.02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1107" w:type="dxa"/>
            <w:vMerge w:val="continue"/>
            <w:vAlign w:val="center"/>
          </w:tcPr>
          <w:p>
            <w:pPr>
              <w:spacing w:after="0" w:line="260" w:lineRule="auto"/>
              <w:jc w:val="center"/>
              <w:rPr>
                <w:b w:val="0"/>
                <w:bCs w:val="0"/>
                <w:color w:val="auto"/>
                <w:lang w:val="en-US" w:eastAsia="zh-CN"/>
              </w:rPr>
            </w:pPr>
          </w:p>
        </w:tc>
        <w:tc>
          <w:tcPr>
            <w:tcW w:w="1210" w:type="dxa"/>
            <w:vAlign w:val="center"/>
          </w:tcPr>
          <w:p>
            <w:pPr>
              <w:spacing w:after="0" w:line="260" w:lineRule="auto"/>
              <w:jc w:val="center"/>
              <w:rPr>
                <w:b w:val="0"/>
                <w:bCs w:val="0"/>
                <w:lang w:val="en-US" w:eastAsia="zh-CN"/>
              </w:rPr>
            </w:pPr>
            <w:r>
              <w:rPr>
                <w:rFonts w:hint="eastAsia"/>
                <w:b w:val="0"/>
                <w:bCs w:val="0"/>
                <w:lang w:val="en-US" w:eastAsia="zh-CN"/>
              </w:rPr>
              <w:t>With WUS</w:t>
            </w:r>
          </w:p>
        </w:tc>
        <w:tc>
          <w:tcPr>
            <w:tcW w:w="1682" w:type="dxa"/>
            <w:vAlign w:val="center"/>
          </w:tcPr>
          <w:p>
            <w:pPr>
              <w:spacing w:after="0" w:line="260" w:lineRule="auto"/>
              <w:ind w:firstLine="420"/>
              <w:rPr>
                <w:lang w:val="en-US" w:eastAsia="zh-CN"/>
              </w:rPr>
            </w:pPr>
            <w:r>
              <w:rPr>
                <w:rFonts w:hint="eastAsia"/>
                <w:lang w:val="en-US" w:eastAsia="zh-CN"/>
              </w:rPr>
              <w:t>39.21</w:t>
            </w:r>
          </w:p>
          <w:p>
            <w:pPr>
              <w:spacing w:after="0" w:line="260" w:lineRule="auto"/>
              <w:jc w:val="center"/>
              <w:rPr>
                <w:lang w:val="en-US" w:eastAsia="zh-CN"/>
              </w:rPr>
            </w:pPr>
            <w:r>
              <w:rPr>
                <w:rFonts w:hint="eastAsia"/>
                <w:lang w:val="en-US" w:eastAsia="zh-CN"/>
              </w:rPr>
              <w:t>0.29 % reduction</w:t>
            </w:r>
          </w:p>
        </w:tc>
        <w:tc>
          <w:tcPr>
            <w:tcW w:w="1768" w:type="dxa"/>
            <w:vAlign w:val="center"/>
          </w:tcPr>
          <w:p>
            <w:pPr>
              <w:spacing w:after="0" w:line="260" w:lineRule="auto"/>
              <w:jc w:val="center"/>
              <w:rPr>
                <w:lang w:val="en-US" w:eastAsia="zh-CN"/>
              </w:rPr>
            </w:pPr>
            <w:r>
              <w:rPr>
                <w:rFonts w:hint="eastAsia"/>
                <w:lang w:val="en-US" w:eastAsia="zh-CN"/>
              </w:rPr>
              <w:t>38.16</w:t>
            </w:r>
          </w:p>
          <w:p>
            <w:pPr>
              <w:spacing w:after="0" w:line="260" w:lineRule="auto"/>
              <w:jc w:val="center"/>
              <w:rPr>
                <w:lang w:val="en-US" w:eastAsia="zh-CN"/>
              </w:rPr>
            </w:pPr>
            <w:r>
              <w:rPr>
                <w:rFonts w:hint="eastAsia"/>
                <w:lang w:val="en-US" w:eastAsia="zh-CN"/>
              </w:rPr>
              <w:t xml:space="preserve"> 0.14 % reduction</w:t>
            </w:r>
          </w:p>
        </w:tc>
        <w:tc>
          <w:tcPr>
            <w:tcW w:w="1640" w:type="dxa"/>
            <w:vAlign w:val="center"/>
          </w:tcPr>
          <w:p>
            <w:pPr>
              <w:spacing w:after="0" w:line="260" w:lineRule="auto"/>
              <w:jc w:val="center"/>
              <w:rPr>
                <w:lang w:val="en-US" w:eastAsia="zh-CN"/>
              </w:rPr>
            </w:pPr>
            <w:r>
              <w:rPr>
                <w:rFonts w:hint="eastAsia"/>
                <w:lang w:val="en-US" w:eastAsia="zh-CN"/>
              </w:rPr>
              <w:t>38.06</w:t>
            </w:r>
          </w:p>
          <w:p>
            <w:pPr>
              <w:spacing w:after="0" w:line="260" w:lineRule="auto"/>
              <w:jc w:val="center"/>
              <w:rPr>
                <w:lang w:val="en-US" w:eastAsia="zh-CN"/>
              </w:rPr>
            </w:pPr>
            <w:r>
              <w:rPr>
                <w:rFonts w:hint="eastAsia"/>
                <w:lang w:val="en-US" w:eastAsia="zh-CN"/>
              </w:rPr>
              <w:t>0.07 %reduction</w:t>
            </w:r>
          </w:p>
        </w:tc>
        <w:tc>
          <w:tcPr>
            <w:tcW w:w="1610" w:type="dxa"/>
            <w:vAlign w:val="center"/>
          </w:tcPr>
          <w:p>
            <w:pPr>
              <w:spacing w:after="0" w:line="260" w:lineRule="auto"/>
              <w:jc w:val="center"/>
              <w:rPr>
                <w:lang w:val="en-US" w:eastAsia="zh-CN"/>
              </w:rPr>
            </w:pPr>
            <w:r>
              <w:rPr>
                <w:rFonts w:hint="eastAsia"/>
                <w:lang w:val="en-US" w:eastAsia="zh-CN"/>
              </w:rPr>
              <w:t>38.01</w:t>
            </w:r>
          </w:p>
          <w:p>
            <w:pPr>
              <w:spacing w:after="0" w:line="260" w:lineRule="auto"/>
              <w:jc w:val="center"/>
              <w:rPr>
                <w:lang w:val="en-US" w:eastAsia="zh-CN"/>
              </w:rPr>
            </w:pPr>
            <w:r>
              <w:rPr>
                <w:rFonts w:hint="eastAsia"/>
                <w:lang w:val="en-US" w:eastAsia="zh-CN"/>
              </w:rPr>
              <w:t>0.04 %reduction</w:t>
            </w:r>
          </w:p>
        </w:tc>
      </w:tr>
    </w:tbl>
    <w:p>
      <w:pPr>
        <w:pStyle w:val="34"/>
        <w:spacing w:after="0"/>
        <w:jc w:val="both"/>
        <w:rPr>
          <w:sz w:val="20"/>
          <w:szCs w:val="20"/>
          <w:lang w:eastAsia="zh-CN"/>
        </w:rPr>
      </w:pPr>
      <w:r>
        <w:rPr>
          <w:rFonts w:hint="eastAsia"/>
          <w:sz w:val="20"/>
          <w:szCs w:val="20"/>
          <w:lang w:eastAsia="zh-CN"/>
        </w:rPr>
        <w:t>From Table 5,we can draw the observation as follows.</w:t>
      </w:r>
    </w:p>
    <w:p>
      <w:pPr>
        <w:pStyle w:val="34"/>
        <w:spacing w:after="0"/>
        <w:jc w:val="both"/>
        <w:rPr>
          <w:b/>
          <w:bCs/>
          <w:sz w:val="20"/>
          <w:szCs w:val="20"/>
          <w:lang w:eastAsia="zh-CN"/>
        </w:rPr>
      </w:pPr>
      <w:r>
        <w:rPr>
          <w:rFonts w:hint="eastAsia"/>
          <w:b/>
          <w:bCs/>
          <w:sz w:val="20"/>
          <w:szCs w:val="20"/>
          <w:lang w:eastAsia="zh-CN"/>
        </w:rPr>
        <w:t>Observation 13: The use of</w:t>
      </w:r>
      <w:r>
        <w:rPr>
          <w:rFonts w:hint="eastAsia"/>
          <w:b/>
          <w:bCs/>
          <w:sz w:val="20"/>
          <w:szCs w:val="20"/>
          <w:lang w:val="en-US" w:eastAsia="zh-CN"/>
        </w:rPr>
        <w:t xml:space="preserve"> additional signal</w:t>
      </w:r>
      <w:r>
        <w:rPr>
          <w:rFonts w:hint="eastAsia"/>
          <w:b/>
          <w:bCs/>
          <w:sz w:val="20"/>
          <w:szCs w:val="20"/>
          <w:lang w:eastAsia="zh-CN"/>
        </w:rPr>
        <w:t xml:space="preserve"> for </w:t>
      </w:r>
      <w:r>
        <w:rPr>
          <w:rFonts w:hint="eastAsia"/>
          <w:b/>
          <w:bCs/>
          <w:sz w:val="20"/>
          <w:szCs w:val="20"/>
          <w:lang w:val="en-US" w:eastAsia="zh-CN"/>
        </w:rPr>
        <w:t xml:space="preserve">RRM </w:t>
      </w:r>
      <w:r>
        <w:rPr>
          <w:rFonts w:hint="eastAsia"/>
          <w:b/>
          <w:bCs/>
          <w:sz w:val="20"/>
          <w:szCs w:val="20"/>
          <w:lang w:eastAsia="zh-CN"/>
        </w:rPr>
        <w:t xml:space="preserve">measurement has no obvious </w:t>
      </w:r>
      <w:r>
        <w:rPr>
          <w:rFonts w:hint="eastAsia"/>
          <w:b/>
          <w:bCs/>
          <w:sz w:val="20"/>
          <w:szCs w:val="20"/>
          <w:lang w:val="en-US" w:eastAsia="zh-CN"/>
        </w:rPr>
        <w:t>benefit for</w:t>
      </w:r>
      <w:r>
        <w:rPr>
          <w:rFonts w:hint="eastAsia"/>
          <w:b/>
          <w:bCs/>
          <w:sz w:val="20"/>
          <w:szCs w:val="20"/>
          <w:lang w:eastAsia="zh-CN"/>
        </w:rPr>
        <w:t xml:space="preserve"> the UE</w:t>
      </w:r>
      <w:r>
        <w:rPr>
          <w:b/>
          <w:bCs/>
          <w:sz w:val="20"/>
          <w:szCs w:val="20"/>
          <w:lang w:eastAsia="zh-CN"/>
        </w:rPr>
        <w:t>’</w:t>
      </w:r>
      <w:r>
        <w:rPr>
          <w:rFonts w:hint="eastAsia"/>
          <w:b/>
          <w:bCs/>
          <w:sz w:val="20"/>
          <w:szCs w:val="20"/>
          <w:lang w:eastAsia="zh-CN"/>
        </w:rPr>
        <w:t>s power saving.</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Link level simulation results for</w:t>
      </w:r>
      <w:r>
        <w:rPr>
          <w:b/>
          <w:sz w:val="24"/>
          <w:szCs w:val="24"/>
          <w:lang w:val="en-US" w:eastAsia="zh-CN"/>
        </w:rPr>
        <w:t xml:space="preserve"> </w:t>
      </w:r>
      <w:r>
        <w:rPr>
          <w:rFonts w:hint="eastAsia"/>
          <w:b/>
          <w:sz w:val="24"/>
          <w:szCs w:val="24"/>
          <w:lang w:val="en-US" w:eastAsia="zh-CN"/>
        </w:rPr>
        <w:t>power saving signal/channel</w:t>
      </w:r>
    </w:p>
    <w:p>
      <w:pPr>
        <w:jc w:val="both"/>
        <w:rPr>
          <w:lang w:val="en-US" w:eastAsia="zh-CN"/>
        </w:rPr>
      </w:pPr>
      <w:r>
        <w:rPr>
          <w:rFonts w:hint="eastAsia"/>
          <w:lang w:val="en-US" w:eastAsia="zh-CN"/>
        </w:rPr>
        <w:t xml:space="preserve">There are mainly two schemes including sequence based </w:t>
      </w:r>
      <w:bookmarkStart w:id="5" w:name="OLE_LINK7"/>
      <w:r>
        <w:rPr>
          <w:rFonts w:hint="eastAsia"/>
          <w:lang w:val="en-US" w:eastAsia="zh-CN"/>
        </w:rPr>
        <w:t>power saving signal</w:t>
      </w:r>
      <w:bookmarkEnd w:id="5"/>
      <w:r>
        <w:rPr>
          <w:rFonts w:hint="eastAsia"/>
          <w:lang w:val="en-US" w:eastAsia="zh-CN"/>
        </w:rPr>
        <w:t xml:space="preserve"> and PDCCH based power saving channel to reduce UE power consumption. The FAR (false alarm rate), BLER, PMD(probability of miss detection) and so on should be considered as the performance metrics of the power saving signal/channel. Furthermore, as to a wake-up signaling, the miss detection performance is more important to make sure the UE would wake up for data reception. While for go-to sleep signaling, the FAR should be of greater importance to ensure UE would not miss the transmitted data. For PDCCH, 24 CRC bits are attached after the DCI information bits. The FAR (false alarm rate) of PDCCH could be ~4e-7. The FAR of wake-up signal/channel </w:t>
      </w:r>
      <w:r>
        <w:rPr>
          <w:lang w:val="en-US" w:eastAsia="zh-CN"/>
        </w:rPr>
        <w:t>does not</w:t>
      </w:r>
      <w:r>
        <w:rPr>
          <w:rFonts w:hint="eastAsia"/>
          <w:lang w:val="en-US" w:eastAsia="zh-CN"/>
        </w:rPr>
        <w:t xml:space="preserve"> need to be as low as PDCCH. In our simulation, the threshold of PAPR is decided by assuming FAR of power saving signal is 0.1%. And the performance of PMD and BLER are provided for power saving signal or channel, respectively. In order to evaluate the performance of PDCCH based power saving channel, the DCI payloads are assumed to be 16 and 30.</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Simulation results over AWGN channel </w:t>
      </w:r>
    </w:p>
    <w:p>
      <w:pPr>
        <w:jc w:val="both"/>
      </w:pPr>
      <w:r>
        <w:rPr>
          <w:rFonts w:hint="eastAsia"/>
          <w:lang w:val="en-US" w:eastAsia="zh-CN"/>
        </w:rPr>
        <w:t xml:space="preserve">In this subsection, we evaluate the performance of PDCCH, </w:t>
      </w:r>
      <w:bookmarkStart w:id="6" w:name="OLE_LINK3"/>
      <w:r>
        <w:t>pseudo-random</w:t>
      </w:r>
      <w:r>
        <w:rPr>
          <w:rFonts w:hint="eastAsia"/>
          <w:lang w:val="en-US" w:eastAsia="zh-CN"/>
        </w:rPr>
        <w:t xml:space="preserve"> </w:t>
      </w:r>
      <w:bookmarkEnd w:id="6"/>
      <w:r>
        <w:rPr>
          <w:rFonts w:hint="eastAsia"/>
          <w:lang w:val="en-US" w:eastAsia="zh-CN"/>
        </w:rPr>
        <w:t xml:space="preserve">sequence and Zadoff-Chu sequence over AWGN channel. In AWGN channel, the antenna configuration is assumed to be 1Tx1Rx.The metric for PDCCH is BLER, the metric for </w:t>
      </w:r>
      <w:r>
        <w:t>pseudo-random</w:t>
      </w:r>
      <w:r>
        <w:rPr>
          <w:rFonts w:hint="eastAsia"/>
          <w:lang w:val="en-US" w:eastAsia="zh-CN"/>
        </w:rPr>
        <w:t xml:space="preserve"> sequence, Zadoff-Chu sequence is PMD. </w:t>
      </w:r>
    </w:p>
    <w:p>
      <w:pPr>
        <w:jc w:val="center"/>
      </w:pPr>
      <w:r>
        <w:rPr>
          <w:lang w:val="en-US" w:eastAsia="zh-CN"/>
        </w:rPr>
        <w:drawing>
          <wp:inline distT="0" distB="0" distL="114300" distR="114300">
            <wp:extent cx="4572000" cy="2743200"/>
            <wp:effectExtent l="4445" t="4445" r="14605" b="14605"/>
            <wp:docPr id="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jc w:val="center"/>
      </w:pPr>
      <w:r>
        <w:rPr>
          <w:rFonts w:hint="eastAsia"/>
          <w:lang w:val="en-US" w:eastAsia="zh-CN"/>
        </w:rPr>
        <w:t>Figure 7. PDCCH with different payload size and aggravation level over AWGN channel</w:t>
      </w:r>
    </w:p>
    <w:p>
      <w:pPr>
        <w:jc w:val="both"/>
        <w:rPr>
          <w:lang w:val="en-US" w:eastAsia="zh-CN"/>
        </w:rPr>
      </w:pPr>
      <w:r>
        <w:rPr>
          <w:rFonts w:hint="eastAsia"/>
          <w:lang w:val="en-US" w:eastAsia="zh-CN"/>
        </w:rPr>
        <w:t>In Figure 7, the legend of AL4-K30 means the aggregation level of PDCCH is 4 and the payload size is 30. It can be seen from the Figure 7 that if the payload size is fixed to 30, the SNR gap between AL2 and AL4 is 3dB. And with the same aggregation level, the smaller the payload size, the better performance.</w:t>
      </w:r>
    </w:p>
    <w:p>
      <w:pPr>
        <w:jc w:val="center"/>
      </w:pPr>
      <w:r>
        <w:rPr>
          <w:lang w:val="en-US" w:eastAsia="zh-CN"/>
        </w:rPr>
        <w:drawing>
          <wp:inline distT="0" distB="0" distL="114300" distR="114300">
            <wp:extent cx="4572000" cy="2743200"/>
            <wp:effectExtent l="4445" t="4445" r="1460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jc w:val="center"/>
      </w:pPr>
      <w:r>
        <w:rPr>
          <w:rFonts w:hint="eastAsia"/>
          <w:lang w:val="en-US" w:eastAsia="zh-CN"/>
        </w:rPr>
        <w:t>Figure 8. sequence performance over AWGN channel</w:t>
      </w:r>
    </w:p>
    <w:p>
      <w:pPr>
        <w:jc w:val="both"/>
        <w:rPr>
          <w:lang w:val="en-US" w:eastAsia="zh-CN"/>
        </w:rPr>
      </w:pPr>
      <w:r>
        <w:rPr>
          <w:rFonts w:hint="eastAsia"/>
          <w:lang w:val="en-US" w:eastAsia="zh-CN"/>
        </w:rPr>
        <w:t xml:space="preserve">In Figure 8, the legend of PN-144 means the length of </w:t>
      </w:r>
      <w:r>
        <w:t>pseudo-random</w:t>
      </w:r>
      <w:r>
        <w:rPr>
          <w:rFonts w:hint="eastAsia"/>
          <w:lang w:val="en-US" w:eastAsia="zh-CN"/>
        </w:rPr>
        <w:t xml:space="preserve"> sequence is 144, the legend of ZC-132 means Zadoff-Chu sequence with length of 132. It can be seen from the Figure 8 that the SNR gap between PN-144 and PN-72 is also 3dB, and the performance of ZC sequence with length 132 is between that of PN-144 and PN-72.</w:t>
      </w:r>
    </w:p>
    <w:p>
      <w:pPr>
        <w:jc w:val="both"/>
        <w:rPr>
          <w:lang w:val="en-US" w:eastAsia="zh-CN"/>
        </w:rPr>
      </w:pPr>
      <w:r>
        <w:rPr>
          <w:rFonts w:hint="eastAsia"/>
          <w:lang w:val="en-US" w:eastAsia="zh-CN"/>
        </w:rPr>
        <w:t xml:space="preserve">So it can be concluded that </w:t>
      </w:r>
      <w:bookmarkStart w:id="7" w:name="OLE_LINK5"/>
      <w:r>
        <w:rPr>
          <w:rFonts w:hint="eastAsia"/>
          <w:lang w:val="en-US" w:eastAsia="zh-CN"/>
        </w:rPr>
        <w:t xml:space="preserve">the performance of PDCCH is strongly relative to the payload size and aggregation level. </w:t>
      </w:r>
      <w:bookmarkEnd w:id="7"/>
      <w:r>
        <w:rPr>
          <w:rFonts w:hint="eastAsia"/>
          <w:lang w:val="en-US" w:eastAsia="zh-CN"/>
        </w:rPr>
        <w:t>Meanwhile the performance of sequence based WUS is relative to the length of the sequence. Therefore the design of the power saving signal/channel should take such factors mentioned above into consideration.</w:t>
      </w:r>
    </w:p>
    <w:p>
      <w:pPr>
        <w:rPr>
          <w:lang w:val="en-US" w:eastAsia="zh-CN"/>
        </w:rPr>
      </w:pPr>
    </w:p>
    <w:p>
      <w:pPr>
        <w:jc w:val="center"/>
      </w:pPr>
      <w:r>
        <w:rPr>
          <w:lang w:val="en-US" w:eastAsia="zh-CN"/>
        </w:rPr>
        <w:drawing>
          <wp:inline distT="0" distB="0" distL="114300" distR="114300">
            <wp:extent cx="4572000" cy="2743200"/>
            <wp:effectExtent l="4445" t="4445" r="14605" b="14605"/>
            <wp:docPr id="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jc w:val="center"/>
        <w:rPr>
          <w:lang w:val="en-US" w:eastAsia="zh-CN"/>
        </w:rPr>
      </w:pPr>
      <w:r>
        <w:rPr>
          <w:rFonts w:hint="eastAsia"/>
          <w:lang w:val="en-US" w:eastAsia="zh-CN"/>
        </w:rPr>
        <w:t>Figure 9. sequence and PDCCH performance over AWGN channel</w:t>
      </w:r>
    </w:p>
    <w:p>
      <w:pPr>
        <w:jc w:val="both"/>
        <w:rPr>
          <w:lang w:val="en-US" w:eastAsia="zh-CN"/>
        </w:rPr>
      </w:pPr>
      <w:r>
        <w:rPr>
          <w:rFonts w:hint="eastAsia"/>
          <w:lang w:val="en-US" w:eastAsia="zh-CN"/>
        </w:rPr>
        <w:t xml:space="preserve">In Figure 9, the curves of sequence based </w:t>
      </w:r>
      <w:bookmarkStart w:id="8" w:name="OLE_LINK9"/>
      <w:r>
        <w:rPr>
          <w:rFonts w:hint="eastAsia"/>
          <w:lang w:val="en-US" w:eastAsia="zh-CN"/>
        </w:rPr>
        <w:t>power saving signal</w:t>
      </w:r>
      <w:bookmarkEnd w:id="8"/>
      <w:r>
        <w:rPr>
          <w:rFonts w:hint="eastAsia"/>
          <w:lang w:val="en-US" w:eastAsia="zh-CN"/>
        </w:rPr>
        <w:t xml:space="preserve"> and PDCCH based power saving channel are given. </w:t>
      </w:r>
      <w:bookmarkStart w:id="9" w:name="OLE_LINK12"/>
      <w:r>
        <w:rPr>
          <w:rFonts w:hint="eastAsia"/>
          <w:lang w:val="en-US" w:eastAsia="zh-CN"/>
        </w:rPr>
        <w:t xml:space="preserve">The </w:t>
      </w:r>
      <w:bookmarkStart w:id="10" w:name="OLE_LINK4"/>
      <w:r>
        <w:rPr>
          <w:rFonts w:hint="eastAsia"/>
          <w:lang w:val="en-US" w:eastAsia="zh-CN"/>
        </w:rPr>
        <w:t>resource</w:t>
      </w:r>
      <w:bookmarkEnd w:id="10"/>
      <w:r>
        <w:rPr>
          <w:rFonts w:hint="eastAsia"/>
          <w:lang w:val="en-US" w:eastAsia="zh-CN"/>
        </w:rPr>
        <w:t xml:space="preserve"> elements they occupy are not the same, and PDCCH with aggregation level 4 contains maximum resource elements (which is 216)</w:t>
      </w:r>
      <w:bookmarkEnd w:id="9"/>
      <w:r>
        <w:rPr>
          <w:rFonts w:hint="eastAsia"/>
          <w:lang w:val="en-US" w:eastAsia="zh-CN"/>
        </w:rPr>
        <w:t>. The performance of PN-144 is best, and the longer the sequence the better the performance. So when we compare the performance of different kinds of power saving signal/channel, the number of resource elements they occupy should be same or not with large difference.</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Simulation results over fading channel </w:t>
      </w:r>
    </w:p>
    <w:p>
      <w:pPr>
        <w:jc w:val="both"/>
        <w:rPr>
          <w:lang w:val="en-US" w:eastAsia="zh-CN"/>
        </w:rPr>
      </w:pPr>
      <w:r>
        <w:rPr>
          <w:rFonts w:hint="eastAsia"/>
          <w:lang w:val="en-US" w:eastAsia="zh-CN"/>
        </w:rPr>
        <w:t xml:space="preserve">In this subsection, the performances of </w:t>
      </w:r>
      <w:bookmarkStart w:id="11" w:name="OLE_LINK6"/>
      <w:r>
        <w:t>pseudo-random</w:t>
      </w:r>
      <w:r>
        <w:rPr>
          <w:rFonts w:hint="eastAsia"/>
          <w:lang w:val="en-US" w:eastAsia="zh-CN"/>
        </w:rPr>
        <w:t xml:space="preserve"> sequence based and PDCCH based WUS </w:t>
      </w:r>
      <w:bookmarkEnd w:id="11"/>
      <w:r>
        <w:rPr>
          <w:rFonts w:hint="eastAsia"/>
          <w:lang w:val="en-US" w:eastAsia="zh-CN"/>
        </w:rPr>
        <w:t>are evaluated over TDL-C channel. The simulation parameters are listed in Table 6.</w:t>
      </w:r>
    </w:p>
    <w:p>
      <w:pPr>
        <w:pStyle w:val="22"/>
        <w:keepNext/>
        <w:spacing w:before="120" w:beforeLines="50"/>
        <w:jc w:val="center"/>
        <w:rPr>
          <w:lang w:val="en-US" w:eastAsia="zh-CN"/>
        </w:rPr>
      </w:pPr>
      <w:r>
        <w:t xml:space="preserve">Table </w:t>
      </w:r>
      <w:r>
        <w:rPr>
          <w:rFonts w:hint="eastAsia"/>
          <w:lang w:val="en-US" w:eastAsia="zh-CN"/>
        </w:rPr>
        <w:t>6</w:t>
      </w:r>
      <w:r>
        <w:t xml:space="preserve"> </w:t>
      </w:r>
      <w:r>
        <w:rPr>
          <w:rFonts w:hint="eastAsia"/>
          <w:lang w:val="en-US" w:eastAsia="zh-CN"/>
        </w:rPr>
        <w:t>simulation parameters for fading channel</w:t>
      </w:r>
    </w:p>
    <w:tbl>
      <w:tblPr>
        <w:tblStyle w:val="42"/>
        <w:tblW w:w="39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hint="eastAsia" w:ascii="Times New Roman" w:hAnsi="Times New Roman"/>
                <w:sz w:val="20"/>
                <w:szCs w:val="22"/>
                <w:lang w:val="en-US" w:eastAsia="zh-CN"/>
              </w:rPr>
              <w:t>Parameter</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Carrier Frequency</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rFonts w:eastAsiaTheme="minorEastAsia"/>
                <w:szCs w:val="22"/>
                <w:lang w:val="en-US" w:eastAsia="zh-CN"/>
              </w:rPr>
            </w:pPr>
            <w:r>
              <w:rPr>
                <w:rFonts w:ascii="Times New Roman" w:hAnsi="Times New Roman"/>
                <w:sz w:val="20"/>
                <w:szCs w:val="22"/>
                <w:lang w:val="en-US" w:eastAsia="zh-CN"/>
              </w:rPr>
              <w:t>SCS</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szCs w:val="22"/>
                <w:lang w:val="en-US" w:eastAsia="zh-CN"/>
              </w:rPr>
            </w:pPr>
            <w:r>
              <w:rPr>
                <w:rFonts w:ascii="Times New Roman" w:hAnsi="Times New Roman"/>
                <w:sz w:val="20"/>
                <w:szCs w:val="22"/>
                <w:lang w:val="en-US" w:eastAsia="zh-CN"/>
              </w:rPr>
              <w:t>BW</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Channel model</w:t>
            </w:r>
          </w:p>
        </w:tc>
        <w:tc>
          <w:tcPr>
            <w:tcW w:w="1902" w:type="dxa"/>
            <w:vAlign w:val="center"/>
          </w:tcPr>
          <w:p>
            <w:pPr>
              <w:pStyle w:val="53"/>
              <w:keepNext w:val="0"/>
              <w:keepLines w:val="0"/>
              <w:widowControl w:val="0"/>
              <w:overflowPunct/>
              <w:autoSpaceDE/>
              <w:autoSpaceDN/>
              <w:adjustRightInd/>
              <w:spacing w:line="360" w:lineRule="auto"/>
              <w:jc w:val="center"/>
              <w:rPr>
                <w:rFonts w:eastAsiaTheme="minorEastAsia"/>
                <w:szCs w:val="22"/>
                <w:lang w:val="en-US" w:eastAsia="zh-CN"/>
              </w:rPr>
            </w:pPr>
            <w:r>
              <w:rPr>
                <w:rFonts w:ascii="Times New Roman" w:hAnsi="Times New Roman"/>
                <w:sz w:val="20"/>
                <w:szCs w:val="22"/>
                <w:lang w:val="en-US"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hint="eastAsia" w:ascii="Times New Roman" w:hAnsi="Times New Roman"/>
                <w:sz w:val="20"/>
                <w:szCs w:val="22"/>
                <w:lang w:val="en-US" w:eastAsia="zh-CN"/>
              </w:rPr>
              <w:t>D</w:t>
            </w:r>
            <w:r>
              <w:rPr>
                <w:rFonts w:ascii="Times New Roman" w:hAnsi="Times New Roman"/>
                <w:sz w:val="20"/>
                <w:szCs w:val="22"/>
                <w:lang w:val="en-US" w:eastAsia="zh-CN"/>
              </w:rPr>
              <w:t>elay scaling value</w:t>
            </w:r>
          </w:p>
        </w:tc>
        <w:tc>
          <w:tcPr>
            <w:tcW w:w="1902" w:type="dxa"/>
            <w:vAlign w:val="center"/>
          </w:tcPr>
          <w:p>
            <w:pPr>
              <w:pStyle w:val="53"/>
              <w:keepNext w:val="0"/>
              <w:keepLines w:val="0"/>
              <w:widowControl w:val="0"/>
              <w:overflowPunct/>
              <w:autoSpaceDE/>
              <w:autoSpaceDN/>
              <w:adjustRightInd/>
              <w:spacing w:line="360" w:lineRule="auto"/>
              <w:jc w:val="center"/>
              <w:rPr>
                <w:szCs w:val="22"/>
                <w:lang w:val="en-US" w:eastAsia="zh-CN"/>
              </w:rPr>
            </w:pPr>
            <w:r>
              <w:rPr>
                <w:rFonts w:ascii="Times New Roman" w:hAnsi="Times New Roman"/>
                <w:sz w:val="20"/>
                <w:szCs w:val="22"/>
                <w:lang w:val="en-US"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UE speed</w:t>
            </w:r>
          </w:p>
        </w:tc>
        <w:tc>
          <w:tcPr>
            <w:tcW w:w="1902" w:type="dxa"/>
            <w:vAlign w:val="center"/>
          </w:tcPr>
          <w:p>
            <w:pPr>
              <w:pStyle w:val="53"/>
              <w:keepNext w:val="0"/>
              <w:keepLines w:val="0"/>
              <w:widowControl w:val="0"/>
              <w:overflowPunct/>
              <w:autoSpaceDE/>
              <w:autoSpaceDN/>
              <w:adjustRightInd/>
              <w:spacing w:line="360" w:lineRule="auto"/>
              <w:jc w:val="center"/>
              <w:rPr>
                <w:szCs w:val="22"/>
                <w:lang w:val="en-US" w:eastAsia="zh-CN"/>
              </w:rPr>
            </w:pPr>
            <w:r>
              <w:rPr>
                <w:rFonts w:ascii="Times New Roman" w:hAnsi="Times New Roman"/>
                <w:sz w:val="20"/>
                <w:szCs w:val="22"/>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072" w:type="dxa"/>
            <w:shd w:val="clear" w:color="auto" w:fill="auto"/>
            <w:vAlign w:val="center"/>
          </w:tcPr>
          <w:p>
            <w:pPr>
              <w:pStyle w:val="53"/>
              <w:jc w:val="center"/>
            </w:pPr>
            <w:r>
              <w:rPr>
                <w:rFonts w:ascii="Times New Roman" w:hAnsi="Times New Roman"/>
                <w:sz w:val="20"/>
              </w:rPr>
              <w:t>Antenna Configuration</w:t>
            </w:r>
          </w:p>
        </w:tc>
        <w:tc>
          <w:tcPr>
            <w:tcW w:w="1902" w:type="dxa"/>
            <w:shd w:val="clear" w:color="auto" w:fill="auto"/>
            <w:vAlign w:val="center"/>
          </w:tcPr>
          <w:p>
            <w:pPr>
              <w:spacing w:after="0"/>
              <w:jc w:val="center"/>
              <w:rPr>
                <w:lang w:val="en-US" w:eastAsia="zh-CN"/>
              </w:rPr>
            </w:pPr>
            <w:r>
              <w:rPr>
                <w:rFonts w:hint="eastAsia"/>
                <w:lang w:val="en-US" w:eastAsia="zh-CN"/>
              </w:rPr>
              <w:t>2</w:t>
            </w:r>
            <w:r>
              <w:t>T2R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shd w:val="clear" w:color="auto" w:fill="auto"/>
            <w:vAlign w:val="center"/>
          </w:tcPr>
          <w:p>
            <w:pPr>
              <w:pStyle w:val="53"/>
              <w:jc w:val="center"/>
              <w:rPr>
                <w:rFonts w:ascii="Times New Roman" w:hAnsi="Times New Roman"/>
                <w:sz w:val="20"/>
                <w:lang w:val="en-US" w:eastAsia="zh-CN"/>
              </w:rPr>
            </w:pPr>
            <w:r>
              <w:rPr>
                <w:rFonts w:hint="eastAsia" w:ascii="Times New Roman" w:hAnsi="Times New Roman"/>
                <w:sz w:val="20"/>
                <w:lang w:val="en-US" w:eastAsia="zh-CN"/>
              </w:rPr>
              <w:t>DCI payload</w:t>
            </w:r>
          </w:p>
        </w:tc>
        <w:tc>
          <w:tcPr>
            <w:tcW w:w="1902" w:type="dxa"/>
            <w:shd w:val="clear" w:color="auto" w:fill="auto"/>
            <w:vAlign w:val="center"/>
          </w:tcPr>
          <w:p>
            <w:pPr>
              <w:spacing w:after="0"/>
              <w:jc w:val="center"/>
              <w:rPr>
                <w:lang w:val="en-US" w:eastAsia="zh-CN"/>
              </w:rPr>
            </w:pPr>
            <w:r>
              <w:rPr>
                <w:rFonts w:hint="eastAsia"/>
                <w:lang w:val="en-US" w:eastAsia="zh-CN"/>
              </w:rPr>
              <w:t>16,30</w:t>
            </w:r>
          </w:p>
        </w:tc>
      </w:tr>
    </w:tbl>
    <w:p>
      <w:pPr>
        <w:rPr>
          <w:lang w:val="en-US" w:eastAsia="zh-CN"/>
        </w:rPr>
      </w:pPr>
    </w:p>
    <w:p>
      <w:pPr>
        <w:jc w:val="center"/>
      </w:pPr>
      <w:r>
        <w:rPr>
          <w:lang w:val="en-US" w:eastAsia="zh-CN"/>
        </w:rPr>
        <w:drawing>
          <wp:inline distT="0" distB="0" distL="114300" distR="114300">
            <wp:extent cx="4088130" cy="2513330"/>
            <wp:effectExtent l="4445" t="4445" r="22225" b="15875"/>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jc w:val="center"/>
        <w:rPr>
          <w:rFonts w:eastAsiaTheme="minorEastAsia"/>
          <w:lang w:eastAsia="zh-CN"/>
        </w:rPr>
      </w:pPr>
      <w:r>
        <w:rPr>
          <w:rFonts w:hint="eastAsia"/>
          <w:lang w:val="en-US" w:eastAsia="zh-CN"/>
        </w:rPr>
        <w:t>Figure 10. PDCCH over TDL-C channel</w:t>
      </w:r>
    </w:p>
    <w:p>
      <w:pPr>
        <w:jc w:val="both"/>
      </w:pPr>
      <w:r>
        <w:rPr>
          <w:rFonts w:hint="eastAsia"/>
          <w:lang w:val="en-US" w:eastAsia="zh-CN"/>
        </w:rPr>
        <w:t>From Figure 10, it can be seen the performance of PDCCH over fading channel is similar to AWGN channel. The performance of PDCCH is strongly relative to the payload size and aggregation level.</w:t>
      </w:r>
    </w:p>
    <w:p>
      <w:pPr>
        <w:jc w:val="center"/>
      </w:pPr>
      <w:r>
        <w:rPr>
          <w:lang w:val="en-US" w:eastAsia="zh-CN"/>
        </w:rPr>
        <w:drawing>
          <wp:inline distT="0" distB="0" distL="114300" distR="114300">
            <wp:extent cx="4572000" cy="2743200"/>
            <wp:effectExtent l="4445" t="4445" r="14605" b="14605"/>
            <wp:docPr id="7"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jc w:val="center"/>
        <w:rPr>
          <w:rFonts w:eastAsiaTheme="minorEastAsia"/>
          <w:lang w:eastAsia="zh-CN"/>
        </w:rPr>
      </w:pPr>
      <w:r>
        <w:rPr>
          <w:rFonts w:hint="eastAsia"/>
          <w:lang w:val="en-US" w:eastAsia="zh-CN"/>
        </w:rPr>
        <w:t>Figure 11. Sequence and PDCCH performance over TDL-C channel</w:t>
      </w:r>
    </w:p>
    <w:p>
      <w:pPr>
        <w:jc w:val="both"/>
        <w:rPr>
          <w:lang w:val="en-US" w:eastAsia="zh-CN"/>
        </w:rPr>
      </w:pPr>
      <w:r>
        <w:rPr>
          <w:rFonts w:hint="eastAsia"/>
          <w:lang w:val="en-US" w:eastAsia="zh-CN"/>
        </w:rPr>
        <w:t xml:space="preserve">From Figure 11 it can be seen that the performance of </w:t>
      </w:r>
      <w:r>
        <w:t>pseudo-random</w:t>
      </w:r>
      <w:r>
        <w:rPr>
          <w:rFonts w:hint="eastAsia"/>
          <w:lang w:val="en-US" w:eastAsia="zh-CN"/>
        </w:rPr>
        <w:t xml:space="preserve"> sequence with length 144 is better than PDCCH with payload size 30 and aggravation level 4, but slightly worse than PDCCH with payload size 16 and aggravation level 4.</w:t>
      </w:r>
    </w:p>
    <w:p>
      <w:pPr>
        <w:jc w:val="both"/>
        <w:rPr>
          <w:lang w:val="en-US" w:eastAsia="zh-CN"/>
        </w:rPr>
      </w:pPr>
      <w:r>
        <w:rPr>
          <w:rFonts w:hint="eastAsia"/>
          <w:lang w:val="en-US" w:eastAsia="zh-CN"/>
        </w:rPr>
        <w:t xml:space="preserve">For the candidates of power saving </w:t>
      </w:r>
      <w:bookmarkStart w:id="12" w:name="OLE_LINK11"/>
      <w:r>
        <w:rPr>
          <w:rFonts w:hint="eastAsia"/>
          <w:lang w:val="en-US" w:eastAsia="zh-CN"/>
        </w:rPr>
        <w:t>signaling</w:t>
      </w:r>
      <w:bookmarkEnd w:id="12"/>
      <w:r>
        <w:rPr>
          <w:rFonts w:hint="eastAsia"/>
          <w:lang w:val="en-US" w:eastAsia="zh-CN"/>
        </w:rPr>
        <w:t xml:space="preserve">, namely sequence based </w:t>
      </w:r>
      <w:bookmarkStart w:id="13" w:name="OLE_LINK10"/>
      <w:r>
        <w:rPr>
          <w:rFonts w:hint="eastAsia"/>
          <w:lang w:val="en-US" w:eastAsia="zh-CN"/>
        </w:rPr>
        <w:t xml:space="preserve">scheme </w:t>
      </w:r>
      <w:bookmarkEnd w:id="13"/>
      <w:r>
        <w:rPr>
          <w:rFonts w:hint="eastAsia"/>
          <w:lang w:val="en-US" w:eastAsia="zh-CN"/>
        </w:rPr>
        <w:t>and PDCCH based scheme, each of which has their own pros and cons. For sequence based scheme, the detection complexity is lower than PDCCH. For PDCCH based scheme, the performance is related to the aggregation level and payload size and more information can be conveyed. And information conveyed by the power saving signaling can be further discussed., With proper design and configuration, both sequence based scheme and PDCCH based scheme can meet the performance requirement.</w:t>
      </w:r>
    </w:p>
    <w:p>
      <w:pPr>
        <w:pStyle w:val="34"/>
        <w:spacing w:after="0"/>
        <w:jc w:val="both"/>
        <w:rPr>
          <w:color w:val="000000"/>
          <w:sz w:val="20"/>
          <w:szCs w:val="20"/>
          <w:lang w:eastAsia="zh-CN"/>
        </w:rPr>
      </w:pPr>
      <w:r>
        <w:rPr>
          <w:color w:val="000000"/>
          <w:sz w:val="20"/>
          <w:szCs w:val="20"/>
          <w:lang w:eastAsia="zh-CN"/>
        </w:rPr>
        <w:t xml:space="preserve">Therefore, the design of </w:t>
      </w:r>
      <w:r>
        <w:rPr>
          <w:rFonts w:hint="eastAsia"/>
          <w:color w:val="000000"/>
          <w:sz w:val="20"/>
          <w:szCs w:val="20"/>
          <w:lang w:eastAsia="zh-CN"/>
        </w:rPr>
        <w:t xml:space="preserve">power saving </w:t>
      </w:r>
      <w:r>
        <w:rPr>
          <w:rFonts w:hint="eastAsia"/>
          <w:sz w:val="20"/>
          <w:szCs w:val="20"/>
          <w:lang w:eastAsia="zh-CN"/>
        </w:rPr>
        <w:t>signaling</w:t>
      </w:r>
      <w:r>
        <w:rPr>
          <w:rFonts w:hint="eastAsia"/>
          <w:color w:val="000000"/>
          <w:sz w:val="20"/>
          <w:szCs w:val="20"/>
          <w:lang w:eastAsia="zh-CN"/>
        </w:rPr>
        <w:t xml:space="preserve"> </w:t>
      </w:r>
      <w:r>
        <w:rPr>
          <w:color w:val="000000"/>
          <w:sz w:val="20"/>
          <w:szCs w:val="20"/>
          <w:lang w:eastAsia="zh-CN"/>
        </w:rPr>
        <w:t xml:space="preserve">should considerate the factors mentioned above. And the link level simulation assumption for </w:t>
      </w:r>
      <w:r>
        <w:rPr>
          <w:rFonts w:hint="eastAsia"/>
          <w:color w:val="000000"/>
          <w:sz w:val="20"/>
          <w:szCs w:val="20"/>
          <w:lang w:eastAsia="zh-CN"/>
        </w:rPr>
        <w:t xml:space="preserve">power saving </w:t>
      </w:r>
      <w:r>
        <w:rPr>
          <w:rFonts w:hint="eastAsia"/>
          <w:sz w:val="20"/>
          <w:szCs w:val="20"/>
          <w:lang w:eastAsia="zh-CN"/>
        </w:rPr>
        <w:t>signaling</w:t>
      </w:r>
      <w:r>
        <w:rPr>
          <w:rFonts w:hint="eastAsia"/>
          <w:color w:val="000000"/>
          <w:sz w:val="20"/>
          <w:szCs w:val="20"/>
          <w:lang w:eastAsia="zh-CN"/>
        </w:rPr>
        <w:t xml:space="preserve"> </w:t>
      </w:r>
      <w:r>
        <w:rPr>
          <w:color w:val="000000"/>
          <w:sz w:val="20"/>
          <w:szCs w:val="20"/>
          <w:lang w:eastAsia="zh-CN"/>
        </w:rPr>
        <w:t>should include PDCCH payload size, aggravation level, sequence length and so on.</w:t>
      </w:r>
      <w:r>
        <w:rPr>
          <w:rFonts w:hint="eastAsia"/>
          <w:color w:val="000000"/>
          <w:sz w:val="20"/>
          <w:szCs w:val="20"/>
          <w:lang w:eastAsia="zh-CN"/>
        </w:rPr>
        <w:t xml:space="preserve"> </w:t>
      </w:r>
      <w:r>
        <w:rPr>
          <w:color w:val="000000"/>
          <w:sz w:val="20"/>
          <w:szCs w:val="20"/>
          <w:lang w:eastAsia="zh-CN"/>
        </w:rPr>
        <w:t xml:space="preserve">And the </w:t>
      </w:r>
      <w:r>
        <w:rPr>
          <w:rFonts w:hint="eastAsia"/>
          <w:color w:val="000000"/>
          <w:sz w:val="20"/>
          <w:szCs w:val="20"/>
          <w:lang w:eastAsia="zh-CN"/>
        </w:rPr>
        <w:t>comparison</w:t>
      </w:r>
      <w:r>
        <w:rPr>
          <w:color w:val="000000"/>
          <w:sz w:val="20"/>
          <w:szCs w:val="20"/>
          <w:lang w:eastAsia="zh-CN"/>
        </w:rPr>
        <w:t xml:space="preserve"> between sequence based scheme</w:t>
      </w:r>
      <w:r>
        <w:rPr>
          <w:rFonts w:hint="eastAsia"/>
          <w:color w:val="000000"/>
          <w:sz w:val="20"/>
          <w:szCs w:val="20"/>
          <w:lang w:eastAsia="zh-CN"/>
        </w:rPr>
        <w:t xml:space="preserve"> </w:t>
      </w:r>
      <w:r>
        <w:rPr>
          <w:color w:val="000000"/>
          <w:sz w:val="20"/>
          <w:szCs w:val="20"/>
          <w:lang w:eastAsia="zh-CN"/>
        </w:rPr>
        <w:t>and PDCCH based scheme</w:t>
      </w:r>
      <w:r>
        <w:rPr>
          <w:rFonts w:hint="eastAsia"/>
          <w:color w:val="000000"/>
          <w:sz w:val="20"/>
          <w:szCs w:val="20"/>
          <w:lang w:eastAsia="zh-CN"/>
        </w:rPr>
        <w:t xml:space="preserve"> </w:t>
      </w:r>
      <w:r>
        <w:rPr>
          <w:color w:val="000000"/>
          <w:sz w:val="20"/>
          <w:szCs w:val="20"/>
          <w:lang w:eastAsia="zh-CN"/>
        </w:rPr>
        <w:t>should on the condition that they occupy the same or nearly same number of resources.</w:t>
      </w:r>
    </w:p>
    <w:p>
      <w:pPr>
        <w:spacing w:after="60" w:line="260" w:lineRule="auto"/>
        <w:jc w:val="both"/>
        <w:textAlignment w:val="baseline"/>
        <w:rPr>
          <w:b/>
          <w:bCs/>
          <w:lang w:eastAsia="zh-CN"/>
        </w:rPr>
      </w:pPr>
      <w:r>
        <w:rPr>
          <w:rFonts w:hint="eastAsia"/>
          <w:b/>
          <w:bCs/>
          <w:lang w:val="en-US" w:eastAsia="zh-CN" w:bidi="ar"/>
        </w:rPr>
        <w:t xml:space="preserve">Proposal 7: The design of power saving signal/channel should take </w:t>
      </w:r>
      <w:r>
        <w:rPr>
          <w:b/>
          <w:bCs/>
          <w:lang w:val="en-US" w:eastAsia="zh-CN" w:bidi="ar"/>
        </w:rPr>
        <w:t>performance</w:t>
      </w:r>
      <w:r>
        <w:rPr>
          <w:rFonts w:hint="eastAsia"/>
          <w:b/>
          <w:bCs/>
          <w:lang w:val="en-US" w:eastAsia="zh-CN" w:bidi="ar"/>
        </w:rPr>
        <w:t xml:space="preserve">, detection complexity, and power consumption </w:t>
      </w:r>
      <w:r>
        <w:rPr>
          <w:b/>
          <w:bCs/>
          <w:lang w:val="en-US" w:eastAsia="zh-CN" w:bidi="ar"/>
        </w:rPr>
        <w:t>into account</w:t>
      </w:r>
      <w:r>
        <w:rPr>
          <w:rFonts w:hint="eastAsia"/>
          <w:b/>
          <w:bCs/>
          <w:lang w:val="en-US" w:eastAsia="zh-CN" w:bidi="ar"/>
        </w:rPr>
        <w:t>.</w:t>
      </w:r>
    </w:p>
    <w:p>
      <w:pPr>
        <w:pStyle w:val="2"/>
        <w:numPr>
          <w:ilvl w:val="0"/>
          <w:numId w:val="13"/>
        </w:numPr>
        <w:tabs>
          <w:tab w:val="left" w:pos="432"/>
        </w:tabs>
        <w:jc w:val="both"/>
        <w:textAlignment w:val="auto"/>
        <w:rPr>
          <w:rFonts w:ascii="Times New Roman" w:hAnsi="Times New Roman"/>
          <w:b/>
          <w:bCs/>
          <w:sz w:val="28"/>
          <w:szCs w:val="28"/>
          <w:lang w:val="en-US"/>
        </w:rPr>
      </w:pPr>
      <w:r>
        <w:rPr>
          <w:rFonts w:ascii="Times New Roman" w:hAnsi="Times New Roman"/>
          <w:b/>
          <w:bCs/>
          <w:sz w:val="28"/>
          <w:szCs w:val="28"/>
          <w:lang w:val="en-US"/>
        </w:rPr>
        <w:t>Conclusion</w:t>
      </w:r>
    </w:p>
    <w:p>
      <w:r>
        <w:t xml:space="preserve">In this contribution, the following observations and </w:t>
      </w:r>
      <w:r>
        <w:rPr>
          <w:rFonts w:hint="eastAsia"/>
          <w:lang w:val="en-US" w:eastAsia="zh-CN"/>
        </w:rPr>
        <w:t>proposals</w:t>
      </w:r>
      <w:r>
        <w:t xml:space="preserve"> are made:</w:t>
      </w:r>
    </w:p>
    <w:p>
      <w:pPr>
        <w:spacing w:after="60"/>
        <w:jc w:val="both"/>
        <w:textAlignment w:val="baseline"/>
        <w:rPr>
          <w:b/>
          <w:bCs/>
          <w:lang w:val="en-US" w:eastAsia="zh-CN" w:bidi="ar"/>
        </w:rPr>
      </w:pPr>
      <w:r>
        <w:rPr>
          <w:rFonts w:hint="eastAsia"/>
          <w:b/>
          <w:bCs/>
          <w:lang w:val="en-US" w:eastAsia="zh-CN" w:bidi="ar"/>
        </w:rPr>
        <w:t>Observation 1: Multi-slot scheduling has low power saving performance and cross-slot scheduling has better power saving gain.</w:t>
      </w:r>
    </w:p>
    <w:p>
      <w:pPr>
        <w:spacing w:after="60"/>
        <w:jc w:val="both"/>
        <w:textAlignment w:val="baseline"/>
        <w:rPr>
          <w:b/>
          <w:bCs/>
          <w:lang w:val="en-US" w:eastAsia="zh-CN" w:bidi="ar"/>
        </w:rPr>
      </w:pPr>
      <w:r>
        <w:rPr>
          <w:rFonts w:hint="eastAsia"/>
          <w:b/>
          <w:bCs/>
          <w:lang w:val="en-US" w:eastAsia="zh-CN" w:bidi="ar"/>
        </w:rPr>
        <w:t>Observation 2: The configuration of inactivity timer and on duration time have great impact on UE power saving gain. Power consumpation increase a lot with the increase of inactivity timer and on duration time.</w:t>
      </w:r>
    </w:p>
    <w:p>
      <w:pPr>
        <w:spacing w:after="60" w:line="260" w:lineRule="auto"/>
        <w:jc w:val="both"/>
        <w:textAlignment w:val="baseline"/>
        <w:rPr>
          <w:b/>
          <w:bCs/>
          <w:lang w:val="en-US" w:eastAsia="zh-CN" w:bidi="ar"/>
        </w:rPr>
      </w:pPr>
      <w:r>
        <w:rPr>
          <w:rFonts w:hint="eastAsia"/>
          <w:b/>
          <w:bCs/>
          <w:lang w:val="en-US" w:eastAsia="zh-CN" w:bidi="ar"/>
        </w:rPr>
        <w:t>Observation 3: CDRX cycle has great impact on UE power saving gain. Power consumption decreases a lot with the increase of CDRX cycle.</w:t>
      </w:r>
    </w:p>
    <w:p>
      <w:pPr>
        <w:spacing w:after="60"/>
        <w:jc w:val="both"/>
        <w:rPr>
          <w:lang w:val="en-US" w:eastAsia="zh-CN"/>
        </w:rPr>
      </w:pPr>
      <w:r>
        <w:rPr>
          <w:rFonts w:hint="eastAsia"/>
          <w:b/>
          <w:bCs/>
          <w:lang w:val="en-US" w:eastAsia="zh-CN"/>
        </w:rPr>
        <w:t>Observation 4: Different size of packets have an different optimal bandwidth, UE cost a minimum of power in this optimal bandwidth. Small bandwidthhas better performance of power saving.</w:t>
      </w:r>
    </w:p>
    <w:p>
      <w:pPr>
        <w:spacing w:after="60" w:line="260" w:lineRule="auto"/>
        <w:jc w:val="both"/>
        <w:textAlignment w:val="baseline"/>
        <w:rPr>
          <w:b/>
          <w:bCs/>
          <w:sz w:val="20"/>
          <w:szCs w:val="20"/>
          <w:lang w:val="en-US" w:eastAsia="zh-CN"/>
        </w:rPr>
      </w:pPr>
      <w:r>
        <w:rPr>
          <w:rFonts w:hint="eastAsia"/>
          <w:b/>
          <w:bCs/>
          <w:sz w:val="20"/>
          <w:szCs w:val="20"/>
          <w:lang w:val="en-US" w:eastAsia="zh-CN"/>
        </w:rPr>
        <w:t>Observation 5: Using PDCCH search space instead of CDRX can have a better power saving gain.</w:t>
      </w:r>
    </w:p>
    <w:p>
      <w:pPr>
        <w:spacing w:after="180" w:line="259" w:lineRule="auto"/>
        <w:jc w:val="both"/>
        <w:textAlignment w:val="auto"/>
        <w:rPr>
          <w:b/>
          <w:bCs/>
          <w:sz w:val="20"/>
          <w:szCs w:val="20"/>
          <w:lang w:val="en-US" w:eastAsia="zh-CN"/>
        </w:rPr>
      </w:pPr>
      <w:r>
        <w:rPr>
          <w:rFonts w:hint="eastAsia"/>
          <w:b/>
          <w:bCs/>
          <w:lang w:val="en-US" w:eastAsia="zh-CN"/>
        </w:rPr>
        <w:t xml:space="preserve">Observation 6 : </w:t>
      </w:r>
      <w:r>
        <w:rPr>
          <w:b/>
          <w:bCs/>
          <w:lang w:val="en-US" w:eastAsia="zh-CN"/>
        </w:rPr>
        <w:t>To turn of</w:t>
      </w:r>
      <w:r>
        <w:rPr>
          <w:rFonts w:hint="eastAsia"/>
          <w:b/>
          <w:bCs/>
          <w:lang w:val="en-US" w:eastAsia="zh-CN"/>
        </w:rPr>
        <w:t>f some panels/antennas will have a good UE power saving gain.</w:t>
      </w:r>
    </w:p>
    <w:p>
      <w:pPr>
        <w:spacing w:after="60" w:line="260" w:lineRule="auto"/>
        <w:jc w:val="both"/>
        <w:rPr>
          <w:b/>
          <w:bCs/>
          <w:lang w:val="en-US" w:eastAsia="zh-CN"/>
        </w:rPr>
      </w:pPr>
      <w:r>
        <w:rPr>
          <w:rFonts w:hint="eastAsia"/>
          <w:b/>
          <w:bCs/>
          <w:lang w:val="en-US" w:eastAsia="zh-CN"/>
        </w:rPr>
        <w:t>Observation 7: GTS has a great performance for UE power saving. The sleep duration indicated by GTS have some impact on the performance of power saving.</w:t>
      </w:r>
    </w:p>
    <w:p>
      <w:pPr>
        <w:spacing w:after="60" w:line="260" w:lineRule="auto"/>
        <w:jc w:val="both"/>
        <w:rPr>
          <w:b/>
          <w:bCs/>
          <w:lang w:val="en-US" w:eastAsia="zh-CN"/>
        </w:rPr>
      </w:pPr>
      <w:r>
        <w:rPr>
          <w:rFonts w:hint="eastAsia"/>
          <w:b/>
          <w:bCs/>
          <w:lang w:val="en-US" w:eastAsia="zh-CN"/>
        </w:rPr>
        <w:t>Observation 8: T</w:t>
      </w:r>
      <w:r>
        <w:rPr>
          <w:rFonts w:hint="eastAsia"/>
          <w:b/>
          <w:bCs/>
          <w:sz w:val="20"/>
          <w:szCs w:val="20"/>
          <w:lang w:val="en-US" w:eastAsia="zh-CN"/>
        </w:rPr>
        <w:t>he two-level PS signal structure with the form of WUS1+WUS2 proposed by Scheme 4 has a better performance of power saving.</w:t>
      </w:r>
      <w:r>
        <w:rPr>
          <w:rFonts w:hint="eastAsia"/>
          <w:b/>
          <w:bCs/>
          <w:lang w:val="en-US" w:eastAsia="zh-CN"/>
        </w:rPr>
        <w:t xml:space="preserve"> </w:t>
      </w:r>
    </w:p>
    <w:p>
      <w:pPr>
        <w:spacing w:after="60" w:line="260" w:lineRule="auto"/>
        <w:jc w:val="both"/>
        <w:rPr>
          <w:b/>
          <w:bCs/>
          <w:lang w:eastAsia="en-US" w:bidi="ar"/>
        </w:rPr>
      </w:pPr>
      <w:r>
        <w:rPr>
          <w:b/>
          <w:bCs/>
          <w:lang w:val="en-US" w:bidi="ar"/>
        </w:rPr>
        <w:t xml:space="preserve">Observation </w:t>
      </w:r>
      <w:r>
        <w:rPr>
          <w:rFonts w:hint="eastAsia"/>
          <w:b/>
          <w:bCs/>
          <w:lang w:val="en-US" w:eastAsia="zh-CN" w:bidi="ar"/>
        </w:rPr>
        <w:t>9</w:t>
      </w:r>
      <w:r>
        <w:rPr>
          <w:b/>
          <w:bCs/>
          <w:lang w:val="en-US" w:bidi="ar"/>
        </w:rPr>
        <w:t xml:space="preserve">: </w:t>
      </w:r>
      <w:r>
        <w:rPr>
          <w:rFonts w:hint="eastAsia"/>
          <w:b/>
          <w:bCs/>
          <w:lang w:val="en-US" w:bidi="ar"/>
        </w:rPr>
        <w:t>The longer the RRM measurement period is, the less power the RRM measurement consumes.</w:t>
      </w:r>
      <w:r>
        <w:rPr>
          <w:b/>
          <w:bCs/>
          <w:lang w:eastAsia="en-US" w:bidi="ar"/>
        </w:rPr>
        <w:t xml:space="preserve"> </w:t>
      </w:r>
    </w:p>
    <w:p>
      <w:pPr>
        <w:spacing w:after="60" w:line="260" w:lineRule="auto"/>
        <w:jc w:val="both"/>
        <w:textAlignment w:val="baseline"/>
        <w:rPr>
          <w:b/>
          <w:bCs/>
          <w:lang w:val="en-US" w:bidi="ar"/>
        </w:rPr>
      </w:pPr>
      <w:r>
        <w:rPr>
          <w:b/>
          <w:bCs/>
          <w:lang w:val="en-US" w:bidi="ar"/>
        </w:rPr>
        <w:t>Observation</w:t>
      </w:r>
      <w:r>
        <w:rPr>
          <w:rFonts w:hint="eastAsia"/>
          <w:b/>
          <w:bCs/>
          <w:lang w:val="en-US" w:eastAsia="zh-CN" w:bidi="ar"/>
        </w:rPr>
        <w:t xml:space="preserve"> 10</w:t>
      </w:r>
      <w:r>
        <w:rPr>
          <w:b/>
          <w:bCs/>
          <w:lang w:val="en-US" w:bidi="ar"/>
        </w:rPr>
        <w:t xml:space="preserve">: </w:t>
      </w:r>
      <w:r>
        <w:rPr>
          <w:rFonts w:hint="eastAsia"/>
          <w:b/>
          <w:bCs/>
          <w:lang w:val="en-US" w:bidi="ar"/>
        </w:rPr>
        <w:t xml:space="preserve">Increasing the RRM measurement </w:t>
      </w:r>
      <w:r>
        <w:rPr>
          <w:rFonts w:hint="eastAsia"/>
          <w:b/>
          <w:bCs/>
          <w:lang w:val="en-US" w:eastAsia="zh-CN" w:bidi="ar"/>
        </w:rPr>
        <w:t>period</w:t>
      </w:r>
      <w:r>
        <w:rPr>
          <w:rFonts w:hint="eastAsia"/>
          <w:b/>
          <w:bCs/>
          <w:lang w:val="en-US" w:bidi="ar"/>
        </w:rPr>
        <w:t xml:space="preserve"> can reduce the average power consumption of the </w:t>
      </w:r>
      <w:r>
        <w:rPr>
          <w:rFonts w:hint="eastAsia"/>
          <w:b/>
          <w:bCs/>
          <w:lang w:val="en-US" w:eastAsia="zh-CN" w:bidi="ar"/>
        </w:rPr>
        <w:t>UE</w:t>
      </w:r>
      <w:r>
        <w:rPr>
          <w:rFonts w:hint="eastAsia"/>
          <w:b/>
          <w:bCs/>
          <w:lang w:val="en-US" w:bidi="ar"/>
        </w:rPr>
        <w:t>.</w:t>
      </w:r>
    </w:p>
    <w:p>
      <w:pPr>
        <w:spacing w:after="60" w:line="260" w:lineRule="auto"/>
        <w:jc w:val="both"/>
        <w:textAlignment w:val="baseline"/>
        <w:rPr>
          <w:b/>
          <w:bCs/>
          <w:lang w:val="en-US" w:eastAsia="zh-CN" w:bidi="ar"/>
        </w:rPr>
      </w:pPr>
      <w:r>
        <w:rPr>
          <w:rFonts w:hint="eastAsia"/>
          <w:b/>
          <w:bCs/>
          <w:lang w:val="en-US" w:eastAsia="zh-CN" w:bidi="ar"/>
        </w:rPr>
        <w:t>Observation 11: When the DRX-Inactivity timer is configured with a large value, the power consumption ratio of RRM measurement is very small. Increase the measurement period, the power saving gain is not obvious.</w:t>
      </w:r>
    </w:p>
    <w:p>
      <w:pPr>
        <w:spacing w:after="60" w:line="260" w:lineRule="auto"/>
        <w:jc w:val="both"/>
        <w:textAlignment w:val="baseline"/>
        <w:rPr>
          <w:b/>
          <w:bCs/>
          <w:lang w:val="en-US" w:eastAsia="zh-CN" w:bidi="ar"/>
        </w:rPr>
      </w:pPr>
      <w:r>
        <w:rPr>
          <w:rFonts w:hint="eastAsia"/>
          <w:b/>
          <w:bCs/>
          <w:lang w:val="en-US" w:eastAsia="zh-CN" w:bidi="ar"/>
        </w:rPr>
        <w:t>Observation 12: When the RRM measurement period is greater than the DRX period, with the measurement period is increasing, and the power saving effect is no longer obvious.</w:t>
      </w:r>
    </w:p>
    <w:p>
      <w:pPr>
        <w:pStyle w:val="34"/>
        <w:spacing w:beforeAutospacing="0" w:after="60" w:afterAutospacing="0"/>
        <w:jc w:val="both"/>
        <w:rPr>
          <w:rFonts w:hint="eastAsia"/>
          <w:b/>
          <w:bCs/>
          <w:sz w:val="20"/>
          <w:szCs w:val="20"/>
          <w:lang w:eastAsia="zh-CN"/>
        </w:rPr>
      </w:pPr>
      <w:r>
        <w:rPr>
          <w:rFonts w:hint="eastAsia"/>
          <w:b/>
          <w:bCs/>
          <w:sz w:val="20"/>
          <w:szCs w:val="20"/>
          <w:lang w:eastAsia="zh-CN"/>
        </w:rPr>
        <w:t xml:space="preserve">Observation 13: The use of </w:t>
      </w:r>
      <w:r>
        <w:rPr>
          <w:rFonts w:hint="eastAsia"/>
          <w:b/>
          <w:bCs/>
          <w:sz w:val="20"/>
          <w:szCs w:val="20"/>
          <w:lang w:val="en-US" w:eastAsia="zh-CN"/>
        </w:rPr>
        <w:t>additional signal</w:t>
      </w:r>
      <w:r>
        <w:rPr>
          <w:rFonts w:hint="eastAsia"/>
          <w:b/>
          <w:bCs/>
          <w:sz w:val="20"/>
          <w:szCs w:val="20"/>
          <w:lang w:eastAsia="zh-CN"/>
        </w:rPr>
        <w:t xml:space="preserve"> for </w:t>
      </w:r>
      <w:r>
        <w:rPr>
          <w:rFonts w:hint="eastAsia"/>
          <w:b/>
          <w:bCs/>
          <w:sz w:val="20"/>
          <w:szCs w:val="20"/>
          <w:lang w:val="en-US" w:eastAsia="zh-CN"/>
        </w:rPr>
        <w:t xml:space="preserve">RRM </w:t>
      </w:r>
      <w:r>
        <w:rPr>
          <w:rFonts w:hint="eastAsia"/>
          <w:b/>
          <w:bCs/>
          <w:sz w:val="20"/>
          <w:szCs w:val="20"/>
          <w:lang w:eastAsia="zh-CN"/>
        </w:rPr>
        <w:t xml:space="preserve">measurement has no </w:t>
      </w:r>
      <w:r>
        <w:rPr>
          <w:rFonts w:hint="eastAsia"/>
          <w:b/>
          <w:bCs/>
          <w:sz w:val="20"/>
          <w:szCs w:val="20"/>
          <w:lang w:val="en-US" w:eastAsia="zh-CN"/>
        </w:rPr>
        <w:t>benefit for</w:t>
      </w:r>
      <w:r>
        <w:rPr>
          <w:rFonts w:hint="eastAsia"/>
          <w:b/>
          <w:bCs/>
          <w:sz w:val="20"/>
          <w:szCs w:val="20"/>
          <w:lang w:eastAsia="zh-CN"/>
        </w:rPr>
        <w:t xml:space="preserve"> the UE</w:t>
      </w:r>
      <w:r>
        <w:rPr>
          <w:b/>
          <w:bCs/>
          <w:sz w:val="20"/>
          <w:szCs w:val="20"/>
          <w:lang w:eastAsia="zh-CN"/>
        </w:rPr>
        <w:t>’</w:t>
      </w:r>
      <w:r>
        <w:rPr>
          <w:rFonts w:hint="eastAsia"/>
          <w:b/>
          <w:bCs/>
          <w:sz w:val="20"/>
          <w:szCs w:val="20"/>
          <w:lang w:eastAsia="zh-CN"/>
        </w:rPr>
        <w:t>s power saving.</w:t>
      </w:r>
    </w:p>
    <w:p>
      <w:pPr>
        <w:pStyle w:val="34"/>
        <w:spacing w:beforeAutospacing="0" w:after="60" w:afterAutospacing="0"/>
        <w:jc w:val="both"/>
        <w:rPr>
          <w:rFonts w:hint="eastAsia"/>
          <w:b/>
          <w:bCs/>
          <w:sz w:val="20"/>
          <w:szCs w:val="20"/>
          <w:lang w:eastAsia="zh-CN"/>
        </w:rPr>
      </w:pPr>
    </w:p>
    <w:p>
      <w:pPr>
        <w:spacing w:after="60"/>
        <w:jc w:val="both"/>
        <w:textAlignment w:val="baseline"/>
        <w:rPr>
          <w:b/>
          <w:bCs/>
          <w:lang w:val="en-US" w:eastAsia="zh-CN" w:bidi="ar"/>
        </w:rPr>
      </w:pPr>
      <w:r>
        <w:rPr>
          <w:rFonts w:hint="eastAsia"/>
          <w:b/>
          <w:bCs/>
          <w:lang w:val="en-US" w:eastAsia="zh-CN" w:bidi="ar"/>
        </w:rPr>
        <w:t>Proposal 1: Cross-slot scheduling can be considered for UE power saving.</w:t>
      </w:r>
    </w:p>
    <w:p>
      <w:pPr>
        <w:spacing w:after="60"/>
        <w:jc w:val="both"/>
        <w:textAlignment w:val="baseline"/>
        <w:rPr>
          <w:b/>
          <w:bCs/>
          <w:sz w:val="20"/>
          <w:szCs w:val="20"/>
          <w:lang w:val="en-US" w:eastAsia="zh-CN"/>
        </w:rPr>
      </w:pPr>
      <w:r>
        <w:rPr>
          <w:rFonts w:hint="eastAsia"/>
          <w:b/>
          <w:bCs/>
          <w:sz w:val="20"/>
          <w:szCs w:val="20"/>
          <w:lang w:val="en-US" w:eastAsia="zh-CN"/>
        </w:rPr>
        <w:t>Proposal 2: Enhancement on PDCCH search space can be further studied.</w:t>
      </w:r>
    </w:p>
    <w:p>
      <w:pPr>
        <w:spacing w:after="60" w:line="260" w:lineRule="auto"/>
        <w:jc w:val="both"/>
        <w:rPr>
          <w:b/>
          <w:bCs/>
          <w:lang w:val="en-US" w:eastAsia="zh-CN"/>
        </w:rPr>
      </w:pPr>
      <w:r>
        <w:rPr>
          <w:rFonts w:hint="eastAsia"/>
          <w:b/>
          <w:bCs/>
          <w:lang w:val="en-US" w:eastAsia="zh-CN"/>
        </w:rPr>
        <w:t xml:space="preserve">Proposal 3: If GTS is studied, the </w:t>
      </w:r>
      <w:r>
        <w:rPr>
          <w:b/>
          <w:bCs/>
        </w:rPr>
        <w:t>sleep duration</w:t>
      </w:r>
      <w:r>
        <w:rPr>
          <w:rFonts w:hint="eastAsia"/>
          <w:b/>
          <w:bCs/>
          <w:lang w:val="en-US" w:eastAsia="zh-CN"/>
        </w:rPr>
        <w:t xml:space="preserve"> </w:t>
      </w:r>
      <w:r>
        <w:rPr>
          <w:b/>
          <w:bCs/>
        </w:rPr>
        <w:t>indicate</w:t>
      </w:r>
      <w:r>
        <w:rPr>
          <w:rFonts w:hint="eastAsia"/>
          <w:b/>
          <w:bCs/>
          <w:lang w:val="en-US" w:eastAsia="zh-CN"/>
        </w:rPr>
        <w:t>d</w:t>
      </w:r>
      <w:r>
        <w:rPr>
          <w:b/>
          <w:bCs/>
        </w:rPr>
        <w:t xml:space="preserve"> </w:t>
      </w:r>
      <w:r>
        <w:rPr>
          <w:rFonts w:hint="eastAsia"/>
          <w:b/>
          <w:bCs/>
          <w:lang w:val="en-US" w:eastAsia="zh-CN"/>
        </w:rPr>
        <w:t>by GTS should be chose wisely.</w:t>
      </w:r>
    </w:p>
    <w:p>
      <w:pPr>
        <w:spacing w:after="60" w:line="260" w:lineRule="auto"/>
        <w:jc w:val="both"/>
        <w:rPr>
          <w:b/>
          <w:bCs/>
          <w:lang w:val="en-US" w:eastAsia="zh-CN"/>
        </w:rPr>
      </w:pPr>
      <w:r>
        <w:rPr>
          <w:rFonts w:hint="eastAsia"/>
          <w:b/>
          <w:bCs/>
          <w:lang w:val="en-US" w:eastAsia="zh-CN"/>
        </w:rPr>
        <w:t>Proposal 4: T</w:t>
      </w:r>
      <w:r>
        <w:rPr>
          <w:rFonts w:hint="eastAsia"/>
          <w:b/>
          <w:bCs/>
          <w:sz w:val="20"/>
          <w:szCs w:val="20"/>
          <w:lang w:val="en-US" w:eastAsia="zh-CN"/>
        </w:rPr>
        <w:t xml:space="preserve">he two-level PS signal structure with the form of WUS1+WUS2 proposed by Scheme 4 </w:t>
      </w:r>
      <w:r>
        <w:rPr>
          <w:rFonts w:hint="eastAsia"/>
          <w:b/>
          <w:bCs/>
          <w:lang w:val="en-US" w:eastAsia="zh-CN"/>
        </w:rPr>
        <w:t>should be studied.</w:t>
      </w:r>
    </w:p>
    <w:p>
      <w:pPr>
        <w:spacing w:after="60" w:line="260" w:lineRule="auto"/>
        <w:jc w:val="both"/>
        <w:rPr>
          <w:b/>
          <w:bCs/>
          <w:lang w:val="en-US" w:eastAsia="zh-CN"/>
        </w:rPr>
      </w:pPr>
      <w:r>
        <w:rPr>
          <w:rFonts w:hint="eastAsia"/>
          <w:b/>
          <w:bCs/>
          <w:lang w:val="en-US" w:eastAsia="zh-CN"/>
        </w:rPr>
        <w:t>Proposal 5: The power consumption of wake-up signal/channel should be studied.</w:t>
      </w:r>
    </w:p>
    <w:p>
      <w:pPr>
        <w:spacing w:after="60" w:line="260" w:lineRule="auto"/>
        <w:jc w:val="both"/>
        <w:textAlignment w:val="baseline"/>
        <w:rPr>
          <w:b/>
          <w:bCs/>
          <w:lang w:val="en-US" w:eastAsia="zh-CN" w:bidi="ar"/>
        </w:rPr>
      </w:pPr>
      <w:r>
        <w:rPr>
          <w:rFonts w:hint="eastAsia"/>
          <w:b/>
          <w:bCs/>
          <w:lang w:val="en-US" w:eastAsia="zh-CN" w:bidi="ar"/>
        </w:rPr>
        <w:t>Proposal 6: The RRM measurement period can be increased appropriately, but the period should not be greater than the DRX period.</w:t>
      </w:r>
    </w:p>
    <w:p>
      <w:pPr>
        <w:spacing w:after="60" w:line="260" w:lineRule="auto"/>
        <w:jc w:val="both"/>
        <w:textAlignment w:val="baseline"/>
        <w:rPr>
          <w:b/>
          <w:bCs/>
          <w:lang w:val="en-US" w:eastAsia="zh-CN" w:bidi="ar"/>
        </w:rPr>
      </w:pPr>
      <w:r>
        <w:rPr>
          <w:rFonts w:hint="eastAsia"/>
          <w:b/>
          <w:bCs/>
          <w:lang w:val="en-US" w:eastAsia="zh-CN" w:bidi="ar"/>
        </w:rPr>
        <w:t xml:space="preserve">Proposal 7: The design of power saving signal/channel should take </w:t>
      </w:r>
      <w:r>
        <w:rPr>
          <w:b/>
          <w:bCs/>
          <w:lang w:val="en-US" w:eastAsia="zh-CN" w:bidi="ar"/>
        </w:rPr>
        <w:t>performance</w:t>
      </w:r>
      <w:r>
        <w:rPr>
          <w:rFonts w:hint="eastAsia"/>
          <w:b/>
          <w:bCs/>
          <w:lang w:val="en-US" w:eastAsia="zh-CN" w:bidi="ar"/>
        </w:rPr>
        <w:t xml:space="preserve">, detection complexity, and power consumption </w:t>
      </w:r>
      <w:r>
        <w:rPr>
          <w:b/>
          <w:bCs/>
          <w:lang w:val="en-US" w:eastAsia="zh-CN" w:bidi="ar"/>
        </w:rPr>
        <w:t>into account</w:t>
      </w:r>
      <w:r>
        <w:rPr>
          <w:rFonts w:hint="eastAsia"/>
          <w:b/>
          <w:bCs/>
          <w:lang w:val="en-US" w:eastAsia="zh-CN" w:bidi="ar"/>
        </w:rPr>
        <w:t>.</w:t>
      </w:r>
    </w:p>
    <w:p>
      <w:pPr>
        <w:pStyle w:val="2"/>
        <w:numPr>
          <w:ilvl w:val="0"/>
          <w:numId w:val="0"/>
        </w:numPr>
        <w:jc w:val="both"/>
        <w:textAlignment w:val="auto"/>
        <w:rPr>
          <w:rFonts w:ascii="Times New Roman" w:hAnsi="Times New Roman"/>
          <w:b/>
          <w:bCs/>
          <w:sz w:val="28"/>
          <w:szCs w:val="28"/>
          <w:lang w:val="en-US"/>
        </w:rPr>
      </w:pPr>
      <w:r>
        <w:rPr>
          <w:rFonts w:ascii="Times New Roman" w:hAnsi="Times New Roman"/>
          <w:b/>
          <w:bCs/>
          <w:sz w:val="28"/>
          <w:szCs w:val="28"/>
          <w:lang w:val="en-US"/>
        </w:rPr>
        <w:t>Reference</w:t>
      </w:r>
    </w:p>
    <w:p>
      <w:pPr>
        <w:pStyle w:val="24"/>
        <w:numPr>
          <w:ilvl w:val="0"/>
          <w:numId w:val="16"/>
        </w:numPr>
        <w:snapToGrid w:val="0"/>
        <w:spacing w:line="268" w:lineRule="auto"/>
        <w:contextualSpacing/>
        <w:jc w:val="both"/>
        <w:rPr>
          <w:bCs/>
          <w:sz w:val="21"/>
          <w:szCs w:val="21"/>
        </w:rPr>
      </w:pPr>
      <w:r>
        <w:fldChar w:fldCharType="begin"/>
      </w:r>
      <w:r>
        <w:instrText xml:space="preserve"> HYPERLINK "http://www.3gpp.org/ftp/Meetings_3GPP_SYNC/RAN1/Inbox/Chairman_notes/Chairman's%20Notes%20RAN1%2094b%20final.doc" </w:instrText>
      </w:r>
      <w:r>
        <w:fldChar w:fldCharType="separate"/>
      </w:r>
      <w:r>
        <w:rPr>
          <w:bCs/>
          <w:sz w:val="21"/>
          <w:szCs w:val="21"/>
        </w:rPr>
        <w:t>Chairman's Notes RAN1 95 final.doc</w:t>
      </w:r>
      <w:r>
        <w:rPr>
          <w:bCs/>
          <w:sz w:val="21"/>
          <w:szCs w:val="21"/>
        </w:rPr>
        <w:fldChar w:fldCharType="end"/>
      </w:r>
    </w:p>
    <w:p>
      <w:pPr>
        <w:pStyle w:val="24"/>
        <w:numPr>
          <w:ilvl w:val="0"/>
          <w:numId w:val="16"/>
        </w:numPr>
        <w:snapToGrid w:val="0"/>
        <w:spacing w:line="268" w:lineRule="auto"/>
        <w:contextualSpacing/>
        <w:jc w:val="both"/>
        <w:rPr>
          <w:bCs/>
          <w:sz w:val="21"/>
          <w:szCs w:val="21"/>
          <w:lang w:val="en-US" w:eastAsia="zh-CN"/>
        </w:rPr>
      </w:pPr>
      <w:r>
        <w:rPr>
          <w:rFonts w:hint="eastAsia"/>
          <w:bCs/>
          <w:sz w:val="21"/>
          <w:szCs w:val="21"/>
          <w:lang w:val="en-US" w:eastAsia="zh-CN"/>
        </w:rPr>
        <w:t xml:space="preserve">R1-1812513, </w:t>
      </w:r>
      <w:r>
        <w:rPr>
          <w:bCs/>
          <w:sz w:val="21"/>
          <w:szCs w:val="21"/>
          <w:lang w:val="en-US" w:eastAsia="zh-CN"/>
        </w:rPr>
        <w:t>UE Adaptation to the traffic and UE power consumption characteristics</w:t>
      </w:r>
      <w:r>
        <w:rPr>
          <w:rFonts w:hint="eastAsia"/>
          <w:bCs/>
          <w:sz w:val="21"/>
          <w:szCs w:val="21"/>
          <w:lang w:val="en-US" w:eastAsia="zh-CN"/>
        </w:rPr>
        <w:t xml:space="preserve">, </w:t>
      </w:r>
      <w:r>
        <w:rPr>
          <w:bCs/>
          <w:sz w:val="21"/>
          <w:szCs w:val="21"/>
          <w:lang w:val="en-US" w:eastAsia="zh-CN"/>
        </w:rPr>
        <w:t>Intel Corporation</w:t>
      </w:r>
    </w:p>
    <w:p>
      <w:pPr>
        <w:pStyle w:val="24"/>
        <w:numPr>
          <w:ilvl w:val="0"/>
          <w:numId w:val="16"/>
        </w:numPr>
        <w:snapToGrid w:val="0"/>
        <w:spacing w:line="268" w:lineRule="auto"/>
        <w:contextualSpacing/>
        <w:jc w:val="both"/>
        <w:rPr>
          <w:bCs/>
          <w:sz w:val="21"/>
          <w:szCs w:val="21"/>
          <w:lang w:val="en-US"/>
        </w:rPr>
      </w:pPr>
      <w:r>
        <w:rPr>
          <w:bCs/>
          <w:sz w:val="21"/>
          <w:szCs w:val="21"/>
          <w:lang w:val="en-US" w:eastAsia="zh-CN"/>
        </w:rPr>
        <w:t xml:space="preserve">R1-1812232, </w:t>
      </w:r>
      <w:r>
        <w:rPr>
          <w:bCs/>
          <w:sz w:val="21"/>
          <w:szCs w:val="21"/>
          <w:lang w:eastAsia="zh-CN"/>
        </w:rPr>
        <w:t>Design of power saving signal</w:t>
      </w:r>
      <w:r>
        <w:rPr>
          <w:bCs/>
          <w:sz w:val="21"/>
          <w:szCs w:val="21"/>
          <w:lang w:val="en-US" w:eastAsia="zh-CN"/>
        </w:rPr>
        <w:t xml:space="preserve">, </w:t>
      </w:r>
      <w:r>
        <w:rPr>
          <w:bCs/>
          <w:sz w:val="21"/>
          <w:szCs w:val="21"/>
          <w:lang w:eastAsia="zh-CN"/>
        </w:rPr>
        <w:t>Huawei, HiSilicon</w:t>
      </w:r>
    </w:p>
    <w:p>
      <w:pPr>
        <w:pStyle w:val="24"/>
        <w:numPr>
          <w:ilvl w:val="0"/>
          <w:numId w:val="16"/>
        </w:numPr>
        <w:snapToGrid w:val="0"/>
        <w:spacing w:line="268" w:lineRule="auto"/>
        <w:contextualSpacing/>
        <w:jc w:val="both"/>
      </w:pPr>
      <w:r>
        <w:rPr>
          <w:bCs/>
          <w:sz w:val="21"/>
          <w:szCs w:val="21"/>
          <w:lang w:val="en-US" w:eastAsia="zh-CN"/>
        </w:rPr>
        <w:t xml:space="preserve">R1-1812362, </w:t>
      </w:r>
      <w:r>
        <w:rPr>
          <w:bCs/>
          <w:sz w:val="21"/>
          <w:szCs w:val="21"/>
          <w:lang w:val="en-US" w:eastAsia="zh-TW"/>
        </w:rPr>
        <w:t>T</w:t>
      </w:r>
      <w:r>
        <w:rPr>
          <w:bCs/>
          <w:sz w:val="21"/>
          <w:szCs w:val="21"/>
          <w:lang w:val="en-US"/>
        </w:rPr>
        <w:t>riggering adaptation for UE power saving</w:t>
      </w:r>
      <w:r>
        <w:rPr>
          <w:bCs/>
          <w:sz w:val="21"/>
          <w:szCs w:val="21"/>
          <w:lang w:val="en-US" w:eastAsia="zh-CN"/>
        </w:rPr>
        <w:t xml:space="preserve">, </w:t>
      </w:r>
      <w:r>
        <w:rPr>
          <w:bCs/>
          <w:sz w:val="21"/>
          <w:szCs w:val="21"/>
          <w:lang w:val="en-US"/>
        </w:rPr>
        <w:t>MediaTek Inc.</w:t>
      </w:r>
    </w:p>
    <w:p>
      <w:pPr>
        <w:pStyle w:val="24"/>
        <w:numPr>
          <w:ilvl w:val="0"/>
          <w:numId w:val="16"/>
        </w:numPr>
        <w:snapToGrid w:val="0"/>
        <w:spacing w:line="268" w:lineRule="auto"/>
        <w:contextualSpacing/>
        <w:jc w:val="both"/>
        <w:rPr>
          <w:bCs/>
          <w:sz w:val="21"/>
          <w:szCs w:val="21"/>
          <w:lang w:val="en-US"/>
        </w:rPr>
      </w:pPr>
      <w:r>
        <w:rPr>
          <w:rFonts w:hint="eastAsia"/>
          <w:bCs/>
          <w:sz w:val="21"/>
          <w:szCs w:val="21"/>
          <w:lang w:val="en-US" w:eastAsia="zh-CN"/>
        </w:rPr>
        <w:t xml:space="preserve">R1-1900227, </w:t>
      </w:r>
      <w:r>
        <w:rPr>
          <w:rFonts w:hint="eastAsia"/>
          <w:bCs/>
          <w:sz w:val="21"/>
          <w:szCs w:val="21"/>
          <w:lang w:val="en-US"/>
        </w:rPr>
        <w:t>Further consideration on triggering for UE power saving</w:t>
      </w:r>
      <w:r>
        <w:rPr>
          <w:rFonts w:hint="eastAsia"/>
          <w:bCs/>
          <w:sz w:val="21"/>
          <w:szCs w:val="21"/>
          <w:lang w:val="en-US" w:eastAsia="zh-CN"/>
        </w:rPr>
        <w:t>,ZTE</w:t>
      </w:r>
    </w:p>
    <w:p>
      <w:pPr>
        <w:pStyle w:val="24"/>
        <w:numPr>
          <w:ilvl w:val="0"/>
          <w:numId w:val="16"/>
        </w:numPr>
        <w:snapToGrid w:val="0"/>
        <w:spacing w:line="268" w:lineRule="auto"/>
        <w:contextualSpacing/>
        <w:jc w:val="both"/>
        <w:rPr>
          <w:bCs/>
          <w:sz w:val="21"/>
          <w:szCs w:val="21"/>
          <w:lang w:val="en-US"/>
        </w:rPr>
      </w:pPr>
      <w:r>
        <w:rPr>
          <w:rFonts w:hint="eastAsia"/>
          <w:bCs/>
          <w:sz w:val="21"/>
          <w:szCs w:val="21"/>
          <w:lang w:val="en-US" w:eastAsia="zh-CN"/>
        </w:rPr>
        <w:t xml:space="preserve">R1-1813448, </w:t>
      </w:r>
      <w:bookmarkStart w:id="14" w:name="_Hlk525830528"/>
      <w:r>
        <w:rPr>
          <w:rFonts w:hint="eastAsia"/>
          <w:bCs/>
          <w:sz w:val="21"/>
          <w:szCs w:val="21"/>
          <w:lang w:val="en-US"/>
        </w:rPr>
        <w:t>Triggering Adaptation of UE Power Consumption Characteristics</w:t>
      </w:r>
      <w:bookmarkEnd w:id="14"/>
      <w:r>
        <w:rPr>
          <w:rFonts w:hint="eastAsia"/>
          <w:bCs/>
          <w:sz w:val="21"/>
          <w:szCs w:val="21"/>
          <w:lang w:val="en-US" w:eastAsia="zh-CN"/>
        </w:rPr>
        <w:t xml:space="preserve">, </w:t>
      </w:r>
      <w:r>
        <w:rPr>
          <w:rFonts w:hint="eastAsia"/>
          <w:bCs/>
          <w:sz w:val="21"/>
          <w:szCs w:val="21"/>
          <w:lang w:val="en-US"/>
        </w:rPr>
        <w:t>Qualcomm Incorporated</w:t>
      </w:r>
    </w:p>
    <w:p>
      <w:pPr>
        <w:pStyle w:val="2"/>
        <w:numPr>
          <w:ilvl w:val="0"/>
          <w:numId w:val="0"/>
        </w:numPr>
        <w:jc w:val="both"/>
        <w:textAlignment w:val="auto"/>
        <w:rPr>
          <w:rFonts w:ascii="Times New Roman" w:hAnsi="Times New Roman"/>
          <w:b/>
          <w:bCs/>
          <w:sz w:val="28"/>
          <w:szCs w:val="28"/>
          <w:lang w:val="en-US" w:eastAsia="zh-CN"/>
        </w:rPr>
      </w:pPr>
      <w:bookmarkStart w:id="15" w:name="_Annex_A:_Settings"/>
      <w:bookmarkEnd w:id="15"/>
      <w:r>
        <w:rPr>
          <w:rFonts w:ascii="Times New Roman" w:hAnsi="Times New Roman"/>
          <w:b/>
          <w:bCs/>
          <w:sz w:val="28"/>
          <w:szCs w:val="28"/>
          <w:lang w:val="en-US"/>
        </w:rPr>
        <w:t>A</w:t>
      </w:r>
      <w:r>
        <w:rPr>
          <w:rFonts w:hint="eastAsia" w:ascii="Times New Roman" w:hAnsi="Times New Roman"/>
          <w:b/>
          <w:bCs/>
          <w:sz w:val="28"/>
          <w:szCs w:val="28"/>
          <w:lang w:val="en-US" w:eastAsia="zh-CN"/>
        </w:rPr>
        <w:t>ppendi</w:t>
      </w:r>
      <w:r>
        <w:rPr>
          <w:rFonts w:ascii="Times New Roman" w:hAnsi="Times New Roman"/>
          <w:b/>
          <w:bCs/>
          <w:sz w:val="28"/>
          <w:szCs w:val="28"/>
          <w:lang w:val="en-US"/>
        </w:rPr>
        <w:t>x</w:t>
      </w:r>
      <w:r>
        <w:rPr>
          <w:rFonts w:hint="eastAsia" w:ascii="Times New Roman" w:hAnsi="Times New Roman"/>
          <w:b/>
          <w:bCs/>
          <w:sz w:val="28"/>
          <w:szCs w:val="28"/>
          <w:lang w:val="en-US" w:eastAsia="zh-CN"/>
        </w:rPr>
        <w:t xml:space="preserve"> A: Simulation assumptions</w:t>
      </w:r>
    </w:p>
    <w:p>
      <w:pPr>
        <w:pStyle w:val="3"/>
        <w:numPr>
          <w:ilvl w:val="0"/>
          <w:numId w:val="17"/>
        </w:numPr>
        <w:rPr>
          <w:sz w:val="24"/>
          <w:szCs w:val="24"/>
          <w:lang w:val="en-US" w:eastAsia="zh-CN"/>
        </w:rPr>
      </w:pPr>
      <w:r>
        <w:rPr>
          <w:rFonts w:hint="eastAsia"/>
          <w:sz w:val="24"/>
          <w:szCs w:val="24"/>
          <w:lang w:val="en-US" w:eastAsia="zh-CN"/>
        </w:rPr>
        <w:t>Power value</w:t>
      </w:r>
    </w:p>
    <w:p>
      <w:pPr>
        <w:jc w:val="both"/>
        <w:rPr>
          <w:lang w:val="en-US" w:eastAsia="zh-CN"/>
        </w:rPr>
      </w:pPr>
      <w:r>
        <w:rPr>
          <w:rFonts w:hint="eastAsia"/>
          <w:lang w:val="en-US" w:eastAsia="zh-CN"/>
        </w:rPr>
        <w:t xml:space="preserve">The power states and relative power values are as follows in Table A1. </w:t>
      </w:r>
    </w:p>
    <w:p>
      <w:pPr>
        <w:jc w:val="center"/>
        <w:rPr>
          <w:lang w:val="en-US" w:eastAsia="zh-CN"/>
        </w:rPr>
      </w:pPr>
      <w:r>
        <w:rPr>
          <w:lang w:val="en-US" w:eastAsia="zh-CN"/>
        </w:rPr>
        <w:t xml:space="preserve">Table </w:t>
      </w:r>
      <w:r>
        <w:rPr>
          <w:rFonts w:hint="eastAsia"/>
          <w:lang w:val="en-US" w:eastAsia="zh-CN"/>
        </w:rPr>
        <w:t>A</w:t>
      </w:r>
      <w:r>
        <w:rPr>
          <w:lang w:val="en-US" w:eastAsia="zh-CN"/>
        </w:rPr>
        <w:t xml:space="preserve">1. </w:t>
      </w:r>
      <w:r>
        <w:rPr>
          <w:rFonts w:hint="eastAsia"/>
          <w:lang w:val="en-US" w:eastAsia="zh-CN"/>
        </w:rPr>
        <w:t>Power units for different power states</w:t>
      </w:r>
    </w:p>
    <w:tbl>
      <w:tblPr>
        <w:tblStyle w:val="41"/>
        <w:tblW w:w="7797" w:type="dxa"/>
        <w:jc w:val="center"/>
        <w:tblInd w:w="0" w:type="dxa"/>
        <w:tblLayout w:type="fixed"/>
        <w:tblCellMar>
          <w:top w:w="0" w:type="dxa"/>
          <w:left w:w="0" w:type="dxa"/>
          <w:bottom w:w="0" w:type="dxa"/>
          <w:right w:w="0" w:type="dxa"/>
        </w:tblCellMar>
      </w:tblPr>
      <w:tblGrid>
        <w:gridCol w:w="2145"/>
        <w:gridCol w:w="1892"/>
        <w:gridCol w:w="1880"/>
        <w:gridCol w:w="1880"/>
      </w:tblGrid>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Power State</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Relative Power</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Power State</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Relative Power</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Deep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PDSCH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280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Light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20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SSB+PDCCH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170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Micro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45</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SSB+PDCCH+PDSCH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300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PDCCH-only</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WUS</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50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 xml:space="preserve">SSB </w:t>
            </w:r>
            <w:r>
              <w:rPr>
                <w:rFonts w:hint="eastAsia" w:ascii="Times New Roman" w:hAnsi="Times New Roman" w:eastAsia="宋体"/>
                <w:i w:val="0"/>
                <w:sz w:val="20"/>
                <w:lang w:val="en-US" w:eastAsia="zh-CN"/>
              </w:rPr>
              <w:t>/TRS/</w:t>
            </w:r>
            <w:r>
              <w:rPr>
                <w:rFonts w:ascii="Times New Roman" w:hAnsi="Times New Roman"/>
                <w:i w:val="0"/>
                <w:sz w:val="20"/>
                <w:lang w:val="en-US"/>
              </w:rPr>
              <w:t xml:space="preserve"> </w:t>
            </w:r>
            <w:r>
              <w:rPr>
                <w:rFonts w:ascii="Times New Roman" w:hAnsi="Times New Roman"/>
                <w:i w:val="0"/>
                <w:sz w:val="20"/>
                <w:lang w:val="en-US"/>
              </w:rPr>
              <w:br w:type="textWrapping"/>
            </w:r>
            <w:r>
              <w:rPr>
                <w:rFonts w:ascii="Times New Roman" w:hAnsi="Times New Roman"/>
                <w:i w:val="0"/>
                <w:sz w:val="20"/>
                <w:lang w:val="en-US"/>
              </w:rPr>
              <w:t>CSI-RS proc.</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DCI based wake-up signalling</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100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PDCCH + PDSCH</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300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p>
        </w:tc>
      </w:tr>
    </w:tbl>
    <w:p>
      <w:pPr>
        <w:rPr>
          <w:lang w:val="en-US" w:eastAsia="zh-CN"/>
        </w:rPr>
      </w:pPr>
    </w:p>
    <w:p>
      <w:pPr>
        <w:pStyle w:val="3"/>
        <w:numPr>
          <w:ilvl w:val="0"/>
          <w:numId w:val="17"/>
        </w:numPr>
        <w:rPr>
          <w:sz w:val="24"/>
          <w:szCs w:val="24"/>
          <w:lang w:val="en-US" w:eastAsia="zh-CN"/>
        </w:rPr>
      </w:pPr>
      <w:r>
        <w:rPr>
          <w:rFonts w:hint="eastAsia"/>
          <w:sz w:val="24"/>
          <w:szCs w:val="24"/>
          <w:lang w:val="en-US" w:eastAsia="zh-CN"/>
        </w:rPr>
        <w:t>Baseline assumptions</w:t>
      </w:r>
    </w:p>
    <w:p>
      <w:pPr>
        <w:rPr>
          <w:lang w:val="en-US" w:eastAsia="zh-CN"/>
        </w:rPr>
      </w:pPr>
      <w:r>
        <w:rPr>
          <w:lang w:eastAsia="zh-CN"/>
        </w:rPr>
        <w:t xml:space="preserve">A simplified UE modem timeline is shown </w:t>
      </w:r>
      <w:r>
        <w:rPr>
          <w:rFonts w:hint="eastAsia"/>
          <w:lang w:val="en-US" w:eastAsia="zh-CN"/>
        </w:rPr>
        <w:t>in Figure A1</w:t>
      </w:r>
      <w:r>
        <w:rPr>
          <w:lang w:val="en-US" w:eastAsia="zh-CN"/>
        </w:rPr>
        <w:t>.</w:t>
      </w:r>
      <w:r>
        <w:rPr>
          <w:rFonts w:hint="eastAsia"/>
          <w:lang w:val="en-US" w:eastAsia="zh-CN"/>
        </w:rPr>
        <w:t xml:space="preserve"> </w:t>
      </w:r>
      <w:r>
        <w:rPr>
          <w:lang w:val="en-US" w:eastAsia="zh-CN"/>
        </w:rPr>
        <w:t>Assume UE</w:t>
      </w:r>
      <w:r>
        <w:rPr>
          <w:lang w:eastAsia="zh-CN"/>
        </w:rPr>
        <w:t xml:space="preserve"> need</w:t>
      </w:r>
      <w:r>
        <w:rPr>
          <w:lang w:val="en-US" w:eastAsia="zh-CN"/>
        </w:rPr>
        <w:t>s</w:t>
      </w:r>
      <w:r>
        <w:rPr>
          <w:lang w:eastAsia="zh-CN"/>
        </w:rPr>
        <w:t xml:space="preserve"> to</w:t>
      </w:r>
      <w:r>
        <w:rPr>
          <w:rFonts w:hint="eastAsia"/>
          <w:lang w:val="en-US" w:eastAsia="zh-CN"/>
        </w:rPr>
        <w:t xml:space="preserve"> perform the</w:t>
      </w:r>
      <w:r>
        <w:rPr>
          <w:lang w:eastAsia="zh-CN"/>
        </w:rPr>
        <w:t xml:space="preserve"> measure</w:t>
      </w:r>
      <w:r>
        <w:rPr>
          <w:rFonts w:hint="eastAsia"/>
          <w:lang w:val="en-US" w:eastAsia="zh-CN"/>
        </w:rPr>
        <w:t>ment</w:t>
      </w:r>
      <w:r>
        <w:rPr>
          <w:lang w:eastAsia="zh-CN"/>
        </w:rPr>
        <w:t xml:space="preserve"> </w:t>
      </w:r>
      <w:r>
        <w:rPr>
          <w:lang w:val="en-US" w:eastAsia="zh-CN"/>
        </w:rPr>
        <w:t>in on duration state and need</w:t>
      </w:r>
      <w:r>
        <w:rPr>
          <w:rFonts w:hint="eastAsia"/>
          <w:lang w:val="en-US" w:eastAsia="zh-CN"/>
        </w:rPr>
        <w:t>s</w:t>
      </w:r>
      <w:r>
        <w:rPr>
          <w:lang w:val="en-US" w:eastAsia="zh-CN"/>
        </w:rPr>
        <w:t xml:space="preserve"> to </w:t>
      </w:r>
      <w:r>
        <w:rPr>
          <w:rFonts w:hint="eastAsia"/>
          <w:lang w:val="en-US" w:eastAsia="zh-CN"/>
        </w:rPr>
        <w:t>be within a</w:t>
      </w:r>
      <w:r>
        <w:rPr>
          <w:lang w:val="en-US" w:eastAsia="zh-CN"/>
        </w:rPr>
        <w:t xml:space="preserve"> fine time-frequency sync </w:t>
      </w:r>
      <w:r>
        <w:rPr>
          <w:rFonts w:hint="eastAsia"/>
          <w:lang w:val="en-US" w:eastAsia="zh-CN"/>
        </w:rPr>
        <w:t>before</w:t>
      </w:r>
      <w:r>
        <w:rPr>
          <w:lang w:val="en-US" w:eastAsia="zh-CN"/>
        </w:rPr>
        <w:t xml:space="preserve"> </w:t>
      </w:r>
      <w:r>
        <w:rPr>
          <w:rFonts w:hint="eastAsia"/>
          <w:lang w:val="en-US" w:eastAsia="zh-CN"/>
        </w:rPr>
        <w:t>next</w:t>
      </w:r>
      <w:r>
        <w:rPr>
          <w:lang w:eastAsia="zh-CN"/>
        </w:rPr>
        <w:t xml:space="preserve"> </w:t>
      </w:r>
      <w:r>
        <w:rPr>
          <w:lang w:val="en-US" w:eastAsia="zh-CN"/>
        </w:rPr>
        <w:t>C-DRX</w:t>
      </w:r>
      <w:r>
        <w:rPr>
          <w:lang w:eastAsia="zh-CN"/>
        </w:rPr>
        <w:t xml:space="preserve"> cycle</w:t>
      </w:r>
      <w:r>
        <w:rPr>
          <w:lang w:val="en-US" w:eastAsia="zh-CN"/>
        </w:rPr>
        <w:t xml:space="preserve"> </w:t>
      </w:r>
      <w:r>
        <w:rPr>
          <w:rFonts w:hint="eastAsia"/>
          <w:lang w:val="en-US" w:eastAsia="zh-CN"/>
        </w:rPr>
        <w:t>starts</w:t>
      </w:r>
      <w:r>
        <w:rPr>
          <w:lang w:val="en-US" w:eastAsia="zh-CN"/>
        </w:rPr>
        <w:t>.</w:t>
      </w:r>
      <w:r>
        <w:rPr>
          <w:rFonts w:hint="eastAsia"/>
          <w:lang w:val="en-US" w:eastAsia="zh-CN"/>
        </w:rPr>
        <w:t xml:space="preserve"> The SSB, TRS and CSI-RS is configured. The SSB period is 20ms, the interval between SSB and DRX on duration is y, </w:t>
      </w:r>
      <w:r>
        <w:rPr>
          <w:i/>
        </w:rPr>
        <w:t>y</w:t>
      </w:r>
      <w:r>
        <w:t xml:space="preserve"> ~ Unif (0, 20msec)</w:t>
      </w:r>
      <w:r>
        <w:rPr>
          <w:rFonts w:hint="eastAsia"/>
          <w:lang w:val="en-US" w:eastAsia="zh-CN"/>
        </w:rPr>
        <w:t>. When UE is in sleep state, only the SSB which is the last on before next DRX on should be measured. CSI-RS is before the TRS. TRS is located before DRX on.</w:t>
      </w:r>
    </w:p>
    <w:p>
      <w:pPr>
        <w:jc w:val="center"/>
      </w:pPr>
      <w:r>
        <w:drawing>
          <wp:inline distT="0" distB="0" distL="114300" distR="114300">
            <wp:extent cx="4390390" cy="1308100"/>
            <wp:effectExtent l="0" t="0" r="1016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a:stretch>
                      <a:fillRect/>
                    </a:stretch>
                  </pic:blipFill>
                  <pic:spPr>
                    <a:xfrm>
                      <a:off x="0" y="0"/>
                      <a:ext cx="4390390" cy="1308100"/>
                    </a:xfrm>
                    <a:prstGeom prst="rect">
                      <a:avLst/>
                    </a:prstGeom>
                    <a:noFill/>
                    <a:ln w="9525">
                      <a:noFill/>
                    </a:ln>
                  </pic:spPr>
                </pic:pic>
              </a:graphicData>
            </a:graphic>
          </wp:inline>
        </w:drawing>
      </w:r>
    </w:p>
    <w:p>
      <w:pPr>
        <w:jc w:val="center"/>
        <w:rPr>
          <w:lang w:val="en-US" w:eastAsia="zh-CN"/>
        </w:rPr>
      </w:pPr>
      <w:r>
        <w:rPr>
          <w:rFonts w:hint="eastAsia"/>
          <w:lang w:val="en-US" w:eastAsia="zh-CN"/>
        </w:rPr>
        <w:t>Figure A1 Baseline timeline</w:t>
      </w:r>
    </w:p>
    <w:p>
      <w:pPr>
        <w:rPr>
          <w:lang w:val="en-US" w:eastAsia="zh-CN"/>
        </w:rPr>
      </w:pPr>
      <w:r>
        <w:rPr>
          <w:rFonts w:hint="eastAsia"/>
          <w:lang w:val="en-US" w:eastAsia="zh-CN"/>
        </w:rPr>
        <w:t>The baseline assumptions shown before is for simulation of WUS. For simulation of other schemes the TRS and CSI-RS is not considered.</w:t>
      </w:r>
    </w:p>
    <w:p>
      <w:pPr>
        <w:rPr>
          <w:lang w:val="en-US" w:eastAsia="zh-CN"/>
        </w:rPr>
      </w:pPr>
      <w:r>
        <w:rPr>
          <w:rFonts w:hint="eastAsia"/>
          <w:lang w:val="en-US" w:eastAsia="zh-CN"/>
        </w:rPr>
        <w:t>The schemes simulated in this paper are simulated based on baseline.</w:t>
      </w:r>
    </w:p>
    <w:p>
      <w:pPr>
        <w:pStyle w:val="3"/>
        <w:numPr>
          <w:ilvl w:val="0"/>
          <w:numId w:val="17"/>
        </w:numPr>
        <w:rPr>
          <w:sz w:val="24"/>
          <w:szCs w:val="24"/>
          <w:lang w:val="en-US" w:eastAsia="zh-CN"/>
        </w:rPr>
      </w:pPr>
      <w:r>
        <w:rPr>
          <w:rFonts w:hint="eastAsia"/>
          <w:sz w:val="24"/>
          <w:szCs w:val="24"/>
          <w:lang w:val="en-US" w:eastAsia="zh-CN"/>
        </w:rPr>
        <w:t>Scheme 1</w:t>
      </w:r>
      <w:r>
        <w:rPr>
          <w:rFonts w:hint="eastAsia"/>
          <w:sz w:val="24"/>
          <w:szCs w:val="24"/>
          <w:vertAlign w:val="superscript"/>
          <w:lang w:val="en-US" w:eastAsia="zh-CN"/>
        </w:rPr>
        <w:t>[3]</w:t>
      </w:r>
    </w:p>
    <w:p>
      <w:pPr>
        <w:rPr>
          <w:lang w:val="en-US" w:eastAsia="zh-CN"/>
        </w:rPr>
      </w:pPr>
      <w:r>
        <w:rPr>
          <w:lang w:eastAsia="zh-CN"/>
        </w:rPr>
        <w:t xml:space="preserve">A simplified UE modem timeline is shown </w:t>
      </w:r>
      <w:r>
        <w:rPr>
          <w:rFonts w:hint="eastAsia"/>
          <w:lang w:val="en-US" w:eastAsia="zh-CN"/>
        </w:rPr>
        <w:t>in Figure A2</w:t>
      </w:r>
      <w:r>
        <w:rPr>
          <w:lang w:val="en-US" w:eastAsia="zh-CN"/>
        </w:rPr>
        <w:t>.</w:t>
      </w:r>
      <w:r>
        <w:rPr>
          <w:rFonts w:hint="eastAsia"/>
          <w:lang w:val="en-US" w:eastAsia="zh-CN"/>
        </w:rPr>
        <w:t xml:space="preserve"> DCI is used as WUS. DCI in the first slot of DRX on duration can indicate UE whether to wake up. If there is no DL grant in DRX on duration, UE can go to sleep.</w:t>
      </w:r>
    </w:p>
    <w:p>
      <w:pPr>
        <w:jc w:val="center"/>
      </w:pPr>
      <w:r>
        <w:rPr>
          <w:lang w:val="en-US" w:eastAsia="zh-CN"/>
        </w:rPr>
        <w:drawing>
          <wp:inline distT="0" distB="0" distL="114300" distR="114300">
            <wp:extent cx="4173220" cy="1343660"/>
            <wp:effectExtent l="0" t="0" r="17780" b="8890"/>
            <wp:docPr id="1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
                    <pic:cNvPicPr>
                      <a:picLocks noChangeAspect="1"/>
                    </pic:cNvPicPr>
                  </pic:nvPicPr>
                  <pic:blipFill>
                    <a:blip r:embed="rId20"/>
                    <a:stretch>
                      <a:fillRect/>
                    </a:stretch>
                  </pic:blipFill>
                  <pic:spPr>
                    <a:xfrm>
                      <a:off x="0" y="0"/>
                      <a:ext cx="4173220" cy="1343660"/>
                    </a:xfrm>
                    <a:prstGeom prst="rect">
                      <a:avLst/>
                    </a:prstGeom>
                    <a:noFill/>
                    <a:ln w="9525">
                      <a:noFill/>
                    </a:ln>
                  </pic:spPr>
                </pic:pic>
              </a:graphicData>
            </a:graphic>
          </wp:inline>
        </w:drawing>
      </w:r>
    </w:p>
    <w:p>
      <w:pPr>
        <w:jc w:val="center"/>
        <w:rPr>
          <w:lang w:val="en-US" w:eastAsia="zh-CN"/>
        </w:rPr>
      </w:pPr>
      <w:r>
        <w:rPr>
          <w:rFonts w:hint="eastAsia"/>
          <w:lang w:val="en-US" w:eastAsia="zh-CN"/>
        </w:rPr>
        <w:t>Figure A2 Scheme 1</w:t>
      </w:r>
      <w:r>
        <w:rPr>
          <w:rFonts w:hint="eastAsia"/>
          <w:vertAlign w:val="superscript"/>
          <w:lang w:val="en-US" w:eastAsia="zh-CN"/>
        </w:rPr>
        <w:t>[3]</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2</w:t>
      </w:r>
      <w:r>
        <w:rPr>
          <w:rFonts w:hint="eastAsia"/>
          <w:sz w:val="24"/>
          <w:szCs w:val="24"/>
          <w:vertAlign w:val="superscript"/>
          <w:lang w:val="en-US" w:eastAsia="zh-CN"/>
        </w:rPr>
        <w:t>[3]</w:t>
      </w:r>
    </w:p>
    <w:p>
      <w:pPr>
        <w:rPr>
          <w:lang w:val="en-US" w:eastAsia="zh-CN"/>
        </w:rPr>
      </w:pPr>
      <w:r>
        <w:rPr>
          <w:lang w:eastAsia="zh-CN"/>
        </w:rPr>
        <w:t xml:space="preserve">A simplified UE modem timeline is shown </w:t>
      </w:r>
      <w:bookmarkStart w:id="16" w:name="OLE_LINK13"/>
      <w:r>
        <w:rPr>
          <w:rFonts w:hint="eastAsia"/>
          <w:lang w:val="en-US" w:eastAsia="zh-CN"/>
        </w:rPr>
        <w:t>in Figure A3</w:t>
      </w:r>
      <w:bookmarkEnd w:id="16"/>
      <w:r>
        <w:rPr>
          <w:lang w:val="en-US" w:eastAsia="zh-CN"/>
        </w:rPr>
        <w:t>.</w:t>
      </w:r>
      <w:r>
        <w:rPr>
          <w:rFonts w:hint="eastAsia"/>
          <w:lang w:val="en-US" w:eastAsia="zh-CN"/>
        </w:rPr>
        <w:t xml:space="preserve"> TRS is used as WUS. If there is no DL grant in DRX on duration, UE can go to sleep.</w:t>
      </w:r>
    </w:p>
    <w:p>
      <w:pPr>
        <w:jc w:val="center"/>
      </w:pPr>
      <w:r>
        <w:rPr>
          <w:lang w:val="en-US" w:eastAsia="zh-CN"/>
        </w:rPr>
        <w:drawing>
          <wp:inline distT="0" distB="0" distL="114300" distR="114300">
            <wp:extent cx="4376420" cy="1525905"/>
            <wp:effectExtent l="0" t="0" r="5080" b="17145"/>
            <wp:docPr id="1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3"/>
                    <pic:cNvPicPr>
                      <a:picLocks noChangeAspect="1"/>
                    </pic:cNvPicPr>
                  </pic:nvPicPr>
                  <pic:blipFill>
                    <a:blip r:embed="rId21"/>
                    <a:stretch>
                      <a:fillRect/>
                    </a:stretch>
                  </pic:blipFill>
                  <pic:spPr>
                    <a:xfrm>
                      <a:off x="0" y="0"/>
                      <a:ext cx="4376420" cy="1525905"/>
                    </a:xfrm>
                    <a:prstGeom prst="rect">
                      <a:avLst/>
                    </a:prstGeom>
                    <a:noFill/>
                    <a:ln w="9525">
                      <a:noFill/>
                    </a:ln>
                  </pic:spPr>
                </pic:pic>
              </a:graphicData>
            </a:graphic>
          </wp:inline>
        </w:drawing>
      </w:r>
    </w:p>
    <w:p>
      <w:pPr>
        <w:jc w:val="center"/>
        <w:rPr>
          <w:lang w:val="en-US" w:eastAsia="zh-CN"/>
        </w:rPr>
      </w:pPr>
      <w:r>
        <w:rPr>
          <w:rFonts w:hint="eastAsia"/>
          <w:lang w:val="en-US" w:eastAsia="zh-CN"/>
        </w:rPr>
        <w:t>Figure A3 Scheme 2</w:t>
      </w:r>
      <w:r>
        <w:rPr>
          <w:rFonts w:hint="eastAsia"/>
          <w:vertAlign w:val="superscript"/>
          <w:lang w:val="en-US" w:eastAsia="zh-CN"/>
        </w:rPr>
        <w:t>[3]</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3</w:t>
      </w:r>
      <w:r>
        <w:rPr>
          <w:rFonts w:hint="eastAsia"/>
          <w:sz w:val="24"/>
          <w:szCs w:val="24"/>
          <w:vertAlign w:val="superscript"/>
          <w:lang w:val="en-US" w:eastAsia="zh-CN"/>
        </w:rPr>
        <w:t>[4]</w:t>
      </w:r>
    </w:p>
    <w:p>
      <w:pPr>
        <w:rPr>
          <w:lang w:val="en-US" w:eastAsia="zh-CN"/>
        </w:rPr>
      </w:pPr>
      <w:r>
        <w:rPr>
          <w:lang w:eastAsia="zh-CN"/>
        </w:rPr>
        <w:t xml:space="preserve">A simplified UE modem timeline is shown </w:t>
      </w:r>
      <w:r>
        <w:rPr>
          <w:rFonts w:hint="eastAsia"/>
          <w:lang w:val="en-US" w:eastAsia="zh-CN"/>
        </w:rPr>
        <w:t>in Figure A4</w:t>
      </w:r>
      <w:r>
        <w:rPr>
          <w:lang w:val="en-US" w:eastAsia="zh-CN"/>
        </w:rPr>
        <w:t>.</w:t>
      </w:r>
      <w:r>
        <w:rPr>
          <w:rFonts w:hint="eastAsia"/>
          <w:lang w:val="en-US" w:eastAsia="zh-CN"/>
        </w:rPr>
        <w:t xml:space="preserve"> WUS is located after the SSB which should be detected during the sleep state. If there is no DL grant in next DRX on duration, WUS can indicate skip the monitoring of PDCCH in next CDRX on duration.</w:t>
      </w:r>
    </w:p>
    <w:p>
      <w:pPr>
        <w:jc w:val="center"/>
      </w:pPr>
      <w:r>
        <w:rPr>
          <w:lang w:val="en-US" w:eastAsia="zh-CN"/>
        </w:rPr>
        <w:drawing>
          <wp:inline distT="0" distB="0" distL="114300" distR="114300">
            <wp:extent cx="4077335" cy="1466215"/>
            <wp:effectExtent l="0" t="0" r="18415" b="635"/>
            <wp:docPr id="1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2"/>
                    <pic:cNvPicPr>
                      <a:picLocks noChangeAspect="1"/>
                    </pic:cNvPicPr>
                  </pic:nvPicPr>
                  <pic:blipFill>
                    <a:blip r:embed="rId22"/>
                    <a:stretch>
                      <a:fillRect/>
                    </a:stretch>
                  </pic:blipFill>
                  <pic:spPr>
                    <a:xfrm>
                      <a:off x="0" y="0"/>
                      <a:ext cx="4077335" cy="1466215"/>
                    </a:xfrm>
                    <a:prstGeom prst="rect">
                      <a:avLst/>
                    </a:prstGeom>
                    <a:noFill/>
                    <a:ln w="9525">
                      <a:noFill/>
                    </a:ln>
                  </pic:spPr>
                </pic:pic>
              </a:graphicData>
            </a:graphic>
          </wp:inline>
        </w:drawing>
      </w:r>
    </w:p>
    <w:p>
      <w:pPr>
        <w:jc w:val="center"/>
        <w:rPr>
          <w:lang w:val="en-US" w:eastAsia="zh-CN"/>
        </w:rPr>
      </w:pPr>
      <w:r>
        <w:rPr>
          <w:rFonts w:hint="eastAsia"/>
          <w:lang w:val="en-US" w:eastAsia="zh-CN"/>
        </w:rPr>
        <w:t>Figure A4 Scheme 3</w:t>
      </w:r>
      <w:r>
        <w:rPr>
          <w:rFonts w:hint="eastAsia"/>
          <w:vertAlign w:val="superscript"/>
          <w:lang w:val="en-US" w:eastAsia="zh-CN"/>
        </w:rPr>
        <w:t>[4]</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4</w:t>
      </w:r>
      <w:r>
        <w:rPr>
          <w:rFonts w:hint="eastAsia"/>
          <w:sz w:val="24"/>
          <w:szCs w:val="24"/>
          <w:vertAlign w:val="superscript"/>
          <w:lang w:val="en-US" w:eastAsia="zh-CN"/>
        </w:rPr>
        <w:t>[5]</w:t>
      </w:r>
    </w:p>
    <w:p>
      <w:pPr>
        <w:rPr>
          <w:lang w:val="en-US" w:eastAsia="zh-CN"/>
        </w:rPr>
      </w:pPr>
      <w:r>
        <w:rPr>
          <w:lang w:eastAsia="zh-CN"/>
        </w:rPr>
        <w:t xml:space="preserve">A simplified UE modem timeline is shown </w:t>
      </w:r>
      <w:r>
        <w:rPr>
          <w:rFonts w:hint="eastAsia"/>
          <w:lang w:val="en-US" w:eastAsia="zh-CN"/>
        </w:rPr>
        <w:t>in Figure A5</w:t>
      </w:r>
      <w:r>
        <w:rPr>
          <w:lang w:val="en-US" w:eastAsia="zh-CN"/>
        </w:rPr>
        <w:t>.</w:t>
      </w:r>
      <w:r>
        <w:rPr>
          <w:rFonts w:hint="eastAsia"/>
          <w:lang w:val="en-US" w:eastAsia="zh-CN"/>
        </w:rPr>
        <w:t xml:space="preserve"> WUS is located before the SSB which should be detected during the sleep state. If there is no DL grant in next DRX on duration, WUS can indicate skip the detect of SSB/TRS/CSI-RS and skip the monitoring of PDCCH in next CDRX on duration. </w:t>
      </w:r>
    </w:p>
    <w:p>
      <w:pPr>
        <w:jc w:val="center"/>
      </w:pPr>
      <w:r>
        <w:drawing>
          <wp:inline distT="0" distB="0" distL="114300" distR="114300">
            <wp:extent cx="4187190" cy="1397635"/>
            <wp:effectExtent l="0" t="0" r="3810" b="1206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23"/>
                    <a:stretch>
                      <a:fillRect/>
                    </a:stretch>
                  </pic:blipFill>
                  <pic:spPr>
                    <a:xfrm>
                      <a:off x="0" y="0"/>
                      <a:ext cx="4187190" cy="1397635"/>
                    </a:xfrm>
                    <a:prstGeom prst="rect">
                      <a:avLst/>
                    </a:prstGeom>
                    <a:noFill/>
                    <a:ln w="9525">
                      <a:noFill/>
                    </a:ln>
                  </pic:spPr>
                </pic:pic>
              </a:graphicData>
            </a:graphic>
          </wp:inline>
        </w:drawing>
      </w:r>
    </w:p>
    <w:p>
      <w:pPr>
        <w:jc w:val="center"/>
        <w:rPr>
          <w:lang w:val="en-US" w:eastAsia="zh-CN"/>
        </w:rPr>
      </w:pPr>
      <w:r>
        <w:rPr>
          <w:rFonts w:hint="eastAsia"/>
          <w:lang w:val="en-US" w:eastAsia="zh-CN"/>
        </w:rPr>
        <w:t>Figure A5 Scheme 4</w:t>
      </w:r>
      <w:r>
        <w:rPr>
          <w:rFonts w:hint="eastAsia"/>
          <w:vertAlign w:val="superscript"/>
          <w:lang w:val="en-US" w:eastAsia="zh-CN"/>
        </w:rPr>
        <w:t>[5]</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5</w:t>
      </w:r>
      <w:r>
        <w:rPr>
          <w:rFonts w:hint="eastAsia"/>
          <w:sz w:val="24"/>
          <w:szCs w:val="24"/>
          <w:vertAlign w:val="superscript"/>
          <w:lang w:val="en-US" w:eastAsia="zh-CN"/>
        </w:rPr>
        <w:t>[6]</w:t>
      </w:r>
    </w:p>
    <w:p>
      <w:pPr>
        <w:rPr>
          <w:lang w:val="en-US" w:eastAsia="zh-CN"/>
        </w:rPr>
      </w:pPr>
      <w:r>
        <w:rPr>
          <w:lang w:eastAsia="zh-CN"/>
        </w:rPr>
        <w:t xml:space="preserve">A simplified UE modem timeline is shown </w:t>
      </w:r>
      <w:r>
        <w:rPr>
          <w:rFonts w:hint="eastAsia"/>
          <w:lang w:val="en-US" w:eastAsia="zh-CN"/>
        </w:rPr>
        <w:t>in Figure A6</w:t>
      </w:r>
      <w:r>
        <w:rPr>
          <w:lang w:val="en-US" w:eastAsia="zh-CN"/>
        </w:rPr>
        <w:t>.</w:t>
      </w:r>
      <w:r>
        <w:rPr>
          <w:rFonts w:hint="eastAsia"/>
          <w:lang w:val="en-US" w:eastAsia="zh-CN"/>
        </w:rPr>
        <w:t xml:space="preserve"> PDCCH-WUS is located before TRS and CSI-RS, the interval between PDCCH-WUS and CSI-RS is y, y=2ms. If there is no DL grant in next DRX on duration, WUS can indicate skip the monitoring of PDCCH in next CDRX on duration. </w:t>
      </w:r>
    </w:p>
    <w:p>
      <w:pPr>
        <w:jc w:val="center"/>
      </w:pPr>
      <w:r>
        <w:rPr>
          <w:lang w:val="en-US" w:eastAsia="zh-CN"/>
        </w:rPr>
        <w:drawing>
          <wp:inline distT="0" distB="0" distL="114300" distR="114300">
            <wp:extent cx="4413250" cy="1469390"/>
            <wp:effectExtent l="0" t="0" r="6350" b="16510"/>
            <wp:docPr id="1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
                    <pic:cNvPicPr>
                      <a:picLocks noChangeAspect="1"/>
                    </pic:cNvPicPr>
                  </pic:nvPicPr>
                  <pic:blipFill>
                    <a:blip r:embed="rId24"/>
                    <a:stretch>
                      <a:fillRect/>
                    </a:stretch>
                  </pic:blipFill>
                  <pic:spPr>
                    <a:xfrm>
                      <a:off x="0" y="0"/>
                      <a:ext cx="4413250" cy="1469390"/>
                    </a:xfrm>
                    <a:prstGeom prst="rect">
                      <a:avLst/>
                    </a:prstGeom>
                    <a:noFill/>
                    <a:ln w="9525">
                      <a:noFill/>
                    </a:ln>
                  </pic:spPr>
                </pic:pic>
              </a:graphicData>
            </a:graphic>
          </wp:inline>
        </w:drawing>
      </w:r>
    </w:p>
    <w:p>
      <w:pPr>
        <w:jc w:val="center"/>
        <w:rPr>
          <w:lang w:val="en-US" w:eastAsia="zh-CN"/>
        </w:rPr>
      </w:pPr>
      <w:r>
        <w:rPr>
          <w:rFonts w:hint="eastAsia"/>
          <w:lang w:val="en-US" w:eastAsia="zh-CN"/>
        </w:rPr>
        <w:t>Figure A6 Scheme 5</w:t>
      </w:r>
      <w:r>
        <w:rPr>
          <w:rFonts w:hint="eastAsia"/>
          <w:vertAlign w:val="superscript"/>
          <w:lang w:val="en-US" w:eastAsia="zh-CN"/>
        </w:rPr>
        <w:t>[6]</w:t>
      </w:r>
      <w:r>
        <w:rPr>
          <w:rFonts w:hint="eastAsia"/>
          <w:lang w:val="en-US" w:eastAsia="zh-CN"/>
        </w:rPr>
        <w:t xml:space="preserve"> timeline</w:t>
      </w:r>
    </w:p>
    <w:p>
      <w:pPr>
        <w:pStyle w:val="2"/>
        <w:numPr>
          <w:ilvl w:val="0"/>
          <w:numId w:val="0"/>
        </w:numPr>
        <w:rPr>
          <w:rFonts w:ascii="Times New Roman" w:hAnsi="Times New Roman"/>
          <w:b/>
          <w:bCs/>
          <w:sz w:val="28"/>
          <w:szCs w:val="28"/>
          <w:lang w:val="en-US" w:eastAsia="zh-CN"/>
        </w:rPr>
      </w:pPr>
      <w:r>
        <w:rPr>
          <w:rFonts w:ascii="Times New Roman" w:hAnsi="Times New Roman"/>
          <w:b/>
          <w:bCs/>
          <w:sz w:val="28"/>
          <w:szCs w:val="28"/>
          <w:lang w:val="en-US" w:eastAsia="zh-CN"/>
        </w:rPr>
        <w:t>Appendix B: Detial simulation results</w:t>
      </w:r>
    </w:p>
    <w:p>
      <w:pPr>
        <w:pStyle w:val="3"/>
        <w:numPr>
          <w:ilvl w:val="0"/>
          <w:numId w:val="18"/>
        </w:numPr>
        <w:rPr>
          <w:b/>
          <w:bCs/>
          <w:sz w:val="24"/>
          <w:szCs w:val="24"/>
          <w:lang w:val="en-US" w:eastAsia="zh-CN"/>
        </w:rPr>
      </w:pPr>
      <w:bookmarkStart w:id="17" w:name="_Annex_B:_Simulation"/>
      <w:bookmarkEnd w:id="17"/>
      <w:r>
        <w:rPr>
          <w:b/>
          <w:bCs/>
          <w:sz w:val="24"/>
          <w:szCs w:val="24"/>
          <w:lang w:val="en-US" w:eastAsia="zh-CN"/>
        </w:rPr>
        <w:t>Simulation results for cross-slot scheduling and multi-slot scheduling</w:t>
      </w:r>
    </w:p>
    <w:p>
      <w:pPr>
        <w:jc w:val="center"/>
        <w:rPr>
          <w:lang w:val="en-US" w:eastAsia="zh-CN"/>
        </w:rPr>
      </w:pPr>
      <w:r>
        <w:rPr>
          <w:rFonts w:hint="eastAsia"/>
          <w:lang w:val="en-US" w:eastAsia="zh-CN"/>
        </w:rPr>
        <w:t xml:space="preserve">Table B1 simulation results for </w:t>
      </w:r>
      <w:r>
        <w:rPr>
          <w:sz w:val="24"/>
          <w:szCs w:val="24"/>
          <w:lang w:val="en-US" w:eastAsia="zh-CN"/>
        </w:rPr>
        <w:t>cross-slot scheduling and multi-slot scheduling</w:t>
      </w:r>
    </w:p>
    <w:tbl>
      <w:tblPr>
        <w:tblStyle w:val="42"/>
        <w:tblW w:w="79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868"/>
        <w:gridCol w:w="868"/>
        <w:gridCol w:w="951"/>
        <w:gridCol w:w="1051"/>
        <w:gridCol w:w="1051"/>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FTP</w:t>
            </w:r>
          </w:p>
        </w:tc>
        <w:tc>
          <w:tcPr>
            <w:tcW w:w="868" w:type="dxa"/>
            <w:vAlign w:val="center"/>
          </w:tcPr>
          <w:p>
            <w:pPr>
              <w:widowControl w:val="0"/>
              <w:jc w:val="center"/>
              <w:rPr>
                <w:lang w:eastAsia="zh-CN"/>
              </w:rPr>
            </w:pPr>
            <w:r>
              <w:rPr>
                <w:rFonts w:hint="eastAsia"/>
                <w:lang w:val="en-US" w:eastAsia="zh-CN"/>
              </w:rPr>
              <w:t>40-10-4</w:t>
            </w:r>
          </w:p>
        </w:tc>
        <w:tc>
          <w:tcPr>
            <w:tcW w:w="868" w:type="dxa"/>
            <w:vAlign w:val="center"/>
          </w:tcPr>
          <w:p>
            <w:pPr>
              <w:widowControl w:val="0"/>
              <w:jc w:val="center"/>
              <w:rPr>
                <w:lang w:eastAsia="zh-CN"/>
              </w:rPr>
            </w:pPr>
            <w:r>
              <w:rPr>
                <w:rFonts w:hint="eastAsia"/>
                <w:lang w:val="en-US" w:eastAsia="zh-CN"/>
              </w:rPr>
              <w:t>40-25-4</w:t>
            </w:r>
          </w:p>
        </w:tc>
        <w:tc>
          <w:tcPr>
            <w:tcW w:w="951" w:type="dxa"/>
            <w:vAlign w:val="center"/>
          </w:tcPr>
          <w:p>
            <w:pPr>
              <w:widowControl w:val="0"/>
              <w:jc w:val="center"/>
              <w:rPr>
                <w:lang w:eastAsia="zh-CN"/>
              </w:rPr>
            </w:pPr>
            <w:r>
              <w:rPr>
                <w:rFonts w:hint="eastAsia"/>
                <w:lang w:val="en-US" w:eastAsia="zh-CN"/>
              </w:rPr>
              <w:t>160-40-8</w:t>
            </w:r>
          </w:p>
        </w:tc>
        <w:tc>
          <w:tcPr>
            <w:tcW w:w="1051" w:type="dxa"/>
            <w:vAlign w:val="center"/>
          </w:tcPr>
          <w:p>
            <w:pPr>
              <w:widowControl w:val="0"/>
              <w:jc w:val="center"/>
              <w:rPr>
                <w:lang w:eastAsia="zh-CN"/>
              </w:rPr>
            </w:pPr>
            <w:r>
              <w:rPr>
                <w:rFonts w:hint="eastAsia"/>
                <w:lang w:val="en-US" w:eastAsia="zh-CN"/>
              </w:rPr>
              <w:t>160-100-8</w:t>
            </w:r>
          </w:p>
        </w:tc>
        <w:tc>
          <w:tcPr>
            <w:tcW w:w="1051" w:type="dxa"/>
            <w:vAlign w:val="center"/>
          </w:tcPr>
          <w:p>
            <w:pPr>
              <w:widowControl w:val="0"/>
              <w:jc w:val="center"/>
              <w:rPr>
                <w:lang w:eastAsia="zh-CN"/>
              </w:rPr>
            </w:pPr>
            <w:r>
              <w:rPr>
                <w:rFonts w:hint="eastAsia"/>
                <w:lang w:val="en-US" w:eastAsia="zh-CN"/>
              </w:rPr>
              <w:t>320-80-10</w:t>
            </w:r>
          </w:p>
        </w:tc>
        <w:tc>
          <w:tcPr>
            <w:tcW w:w="1151" w:type="dxa"/>
            <w:vAlign w:val="center"/>
          </w:tcPr>
          <w:p>
            <w:pPr>
              <w:widowControl w:val="0"/>
              <w:jc w:val="center"/>
              <w:rPr>
                <w:lang w:eastAsia="zh-CN"/>
              </w:rPr>
            </w:pPr>
            <w:r>
              <w:rPr>
                <w:rFonts w:hint="eastAsia"/>
                <w:lang w:val="en-US" w:eastAsia="zh-CN"/>
              </w:rPr>
              <w:t>320-200-10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Baseline(2 packets)</w:t>
            </w:r>
          </w:p>
        </w:tc>
        <w:tc>
          <w:tcPr>
            <w:tcW w:w="868" w:type="dxa"/>
            <w:vAlign w:val="center"/>
          </w:tcPr>
          <w:p>
            <w:pPr>
              <w:widowControl w:val="0"/>
              <w:jc w:val="center"/>
              <w:rPr>
                <w:lang w:eastAsia="zh-CN"/>
              </w:rPr>
            </w:pPr>
            <w:r>
              <w:rPr>
                <w:rFonts w:hint="eastAsia"/>
                <w:lang w:val="en-US" w:eastAsia="zh-CN"/>
              </w:rPr>
              <w:t>27.31</w:t>
            </w:r>
          </w:p>
        </w:tc>
        <w:tc>
          <w:tcPr>
            <w:tcW w:w="868" w:type="dxa"/>
            <w:vAlign w:val="center"/>
          </w:tcPr>
          <w:p>
            <w:pPr>
              <w:widowControl w:val="0"/>
              <w:jc w:val="center"/>
              <w:rPr>
                <w:lang w:eastAsia="zh-CN"/>
              </w:rPr>
            </w:pPr>
            <w:r>
              <w:rPr>
                <w:rFonts w:hint="eastAsia"/>
                <w:lang w:val="en-US" w:eastAsia="zh-CN"/>
              </w:rPr>
              <w:t>34.90</w:t>
            </w:r>
          </w:p>
        </w:tc>
        <w:tc>
          <w:tcPr>
            <w:tcW w:w="951" w:type="dxa"/>
            <w:vAlign w:val="center"/>
          </w:tcPr>
          <w:p>
            <w:pPr>
              <w:widowControl w:val="0"/>
              <w:jc w:val="center"/>
              <w:rPr>
                <w:lang w:eastAsia="zh-CN"/>
              </w:rPr>
            </w:pPr>
            <w:r>
              <w:rPr>
                <w:rFonts w:hint="eastAsia"/>
                <w:lang w:val="en-US" w:eastAsia="zh-CN"/>
              </w:rPr>
              <w:t>22.10</w:t>
            </w:r>
          </w:p>
        </w:tc>
        <w:tc>
          <w:tcPr>
            <w:tcW w:w="1051" w:type="dxa"/>
            <w:vAlign w:val="center"/>
          </w:tcPr>
          <w:p>
            <w:pPr>
              <w:widowControl w:val="0"/>
              <w:jc w:val="center"/>
              <w:rPr>
                <w:lang w:eastAsia="zh-CN"/>
              </w:rPr>
            </w:pPr>
            <w:r>
              <w:rPr>
                <w:rFonts w:hint="eastAsia"/>
                <w:lang w:val="en-US" w:eastAsia="zh-CN"/>
              </w:rPr>
              <w:t>40.53</w:t>
            </w:r>
          </w:p>
        </w:tc>
        <w:tc>
          <w:tcPr>
            <w:tcW w:w="1051" w:type="dxa"/>
            <w:vAlign w:val="center"/>
          </w:tcPr>
          <w:p>
            <w:pPr>
              <w:widowControl w:val="0"/>
              <w:jc w:val="center"/>
              <w:rPr>
                <w:lang w:eastAsia="zh-CN"/>
              </w:rPr>
            </w:pPr>
            <w:r>
              <w:rPr>
                <w:rFonts w:hint="eastAsia"/>
                <w:lang w:val="en-US" w:eastAsia="zh-CN"/>
              </w:rPr>
              <w:t>27.63</w:t>
            </w:r>
          </w:p>
        </w:tc>
        <w:tc>
          <w:tcPr>
            <w:tcW w:w="1151" w:type="dxa"/>
            <w:vAlign w:val="center"/>
          </w:tcPr>
          <w:p>
            <w:pPr>
              <w:widowControl w:val="0"/>
              <w:jc w:val="center"/>
              <w:rPr>
                <w:lang w:eastAsia="zh-CN"/>
              </w:rPr>
            </w:pPr>
            <w:r>
              <w:rPr>
                <w:rFonts w:hint="eastAsia"/>
                <w:lang w:val="en-US" w:eastAsia="zh-CN"/>
              </w:rPr>
              <w:t>58.09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Multi</w:t>
            </w:r>
            <w:bookmarkStart w:id="18" w:name="OLE_LINK15"/>
            <w:r>
              <w:rPr>
                <w:rFonts w:hint="eastAsia"/>
                <w:lang w:val="en-US" w:eastAsia="zh-CN"/>
              </w:rPr>
              <w:t>-slot</w:t>
            </w:r>
            <w:bookmarkEnd w:id="18"/>
            <w:r>
              <w:rPr>
                <w:rFonts w:hint="eastAsia"/>
                <w:lang w:val="en-US" w:eastAsia="zh-CN"/>
              </w:rPr>
              <w:t xml:space="preserve"> (2 packets)</w:t>
            </w:r>
          </w:p>
        </w:tc>
        <w:tc>
          <w:tcPr>
            <w:tcW w:w="868" w:type="dxa"/>
            <w:vAlign w:val="center"/>
          </w:tcPr>
          <w:p>
            <w:pPr>
              <w:widowControl w:val="0"/>
              <w:jc w:val="center"/>
              <w:rPr>
                <w:lang w:eastAsia="zh-CN"/>
              </w:rPr>
            </w:pPr>
            <w:r>
              <w:rPr>
                <w:rFonts w:hint="eastAsia"/>
                <w:lang w:val="en-US" w:eastAsia="zh-CN"/>
              </w:rPr>
              <w:t>26.98</w:t>
            </w:r>
          </w:p>
        </w:tc>
        <w:tc>
          <w:tcPr>
            <w:tcW w:w="868" w:type="dxa"/>
            <w:vAlign w:val="center"/>
          </w:tcPr>
          <w:p>
            <w:pPr>
              <w:widowControl w:val="0"/>
              <w:jc w:val="center"/>
              <w:rPr>
                <w:lang w:eastAsia="zh-CN"/>
              </w:rPr>
            </w:pPr>
            <w:r>
              <w:rPr>
                <w:rFonts w:hint="eastAsia"/>
                <w:lang w:val="en-US" w:eastAsia="zh-CN"/>
              </w:rPr>
              <w:t>34.62</w:t>
            </w:r>
          </w:p>
        </w:tc>
        <w:tc>
          <w:tcPr>
            <w:tcW w:w="951" w:type="dxa"/>
            <w:vAlign w:val="center"/>
          </w:tcPr>
          <w:p>
            <w:pPr>
              <w:widowControl w:val="0"/>
              <w:jc w:val="center"/>
              <w:rPr>
                <w:lang w:eastAsia="zh-CN"/>
              </w:rPr>
            </w:pPr>
            <w:r>
              <w:rPr>
                <w:rFonts w:hint="eastAsia"/>
                <w:lang w:val="en-US" w:eastAsia="zh-CN"/>
              </w:rPr>
              <w:t>21.85</w:t>
            </w:r>
          </w:p>
        </w:tc>
        <w:tc>
          <w:tcPr>
            <w:tcW w:w="1051" w:type="dxa"/>
            <w:vAlign w:val="center"/>
          </w:tcPr>
          <w:p>
            <w:pPr>
              <w:widowControl w:val="0"/>
              <w:jc w:val="center"/>
              <w:rPr>
                <w:lang w:eastAsia="zh-CN"/>
              </w:rPr>
            </w:pPr>
            <w:r>
              <w:rPr>
                <w:rFonts w:hint="eastAsia"/>
                <w:lang w:val="en-US" w:eastAsia="zh-CN"/>
              </w:rPr>
              <w:t>40.28</w:t>
            </w:r>
          </w:p>
        </w:tc>
        <w:tc>
          <w:tcPr>
            <w:tcW w:w="1051" w:type="dxa"/>
            <w:vAlign w:val="center"/>
          </w:tcPr>
          <w:p>
            <w:pPr>
              <w:widowControl w:val="0"/>
              <w:jc w:val="center"/>
              <w:rPr>
                <w:lang w:eastAsia="zh-CN"/>
              </w:rPr>
            </w:pPr>
            <w:r>
              <w:rPr>
                <w:rFonts w:hint="eastAsia"/>
                <w:lang w:val="en-US" w:eastAsia="zh-CN"/>
              </w:rPr>
              <w:t>27.39</w:t>
            </w:r>
          </w:p>
        </w:tc>
        <w:tc>
          <w:tcPr>
            <w:tcW w:w="1151" w:type="dxa"/>
            <w:vAlign w:val="center"/>
          </w:tcPr>
          <w:p>
            <w:pPr>
              <w:widowControl w:val="0"/>
              <w:jc w:val="center"/>
              <w:rPr>
                <w:lang w:eastAsia="zh-CN"/>
              </w:rPr>
            </w:pPr>
            <w:r>
              <w:rPr>
                <w:rFonts w:hint="eastAsia"/>
                <w:lang w:val="en-US" w:eastAsia="zh-CN"/>
              </w:rPr>
              <w:t>57.96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Cross-slot(2 packets)</w:t>
            </w:r>
          </w:p>
        </w:tc>
        <w:tc>
          <w:tcPr>
            <w:tcW w:w="868" w:type="dxa"/>
            <w:vAlign w:val="center"/>
          </w:tcPr>
          <w:p>
            <w:pPr>
              <w:widowControl w:val="0"/>
              <w:jc w:val="center"/>
              <w:rPr>
                <w:lang w:eastAsia="zh-CN"/>
              </w:rPr>
            </w:pPr>
            <w:r>
              <w:rPr>
                <w:rFonts w:hint="eastAsia"/>
                <w:lang w:val="en-US" w:eastAsia="zh-CN"/>
              </w:rPr>
              <w:t>23.32</w:t>
            </w:r>
          </w:p>
        </w:tc>
        <w:tc>
          <w:tcPr>
            <w:tcW w:w="868" w:type="dxa"/>
            <w:vAlign w:val="center"/>
          </w:tcPr>
          <w:p>
            <w:pPr>
              <w:widowControl w:val="0"/>
              <w:jc w:val="center"/>
              <w:rPr>
                <w:lang w:eastAsia="zh-CN"/>
              </w:rPr>
            </w:pPr>
            <w:r>
              <w:rPr>
                <w:rFonts w:hint="eastAsia"/>
                <w:lang w:val="en-US" w:eastAsia="zh-CN"/>
              </w:rPr>
              <w:t>28.44</w:t>
            </w:r>
          </w:p>
        </w:tc>
        <w:tc>
          <w:tcPr>
            <w:tcW w:w="951" w:type="dxa"/>
            <w:vAlign w:val="center"/>
          </w:tcPr>
          <w:p>
            <w:pPr>
              <w:widowControl w:val="0"/>
              <w:jc w:val="center"/>
              <w:rPr>
                <w:lang w:eastAsia="zh-CN"/>
              </w:rPr>
            </w:pPr>
            <w:r>
              <w:rPr>
                <w:rFonts w:hint="eastAsia"/>
                <w:lang w:val="en-US" w:eastAsia="zh-CN"/>
              </w:rPr>
              <w:t>17.33</w:t>
            </w:r>
          </w:p>
        </w:tc>
        <w:tc>
          <w:tcPr>
            <w:tcW w:w="1051" w:type="dxa"/>
            <w:vAlign w:val="center"/>
          </w:tcPr>
          <w:p>
            <w:pPr>
              <w:widowControl w:val="0"/>
              <w:jc w:val="center"/>
              <w:rPr>
                <w:lang w:eastAsia="zh-CN"/>
              </w:rPr>
            </w:pPr>
            <w:r>
              <w:rPr>
                <w:rFonts w:hint="eastAsia"/>
                <w:lang w:val="en-US" w:eastAsia="zh-CN"/>
              </w:rPr>
              <w:t>30.34</w:t>
            </w:r>
          </w:p>
        </w:tc>
        <w:tc>
          <w:tcPr>
            <w:tcW w:w="1051" w:type="dxa"/>
            <w:vAlign w:val="center"/>
          </w:tcPr>
          <w:p>
            <w:pPr>
              <w:widowControl w:val="0"/>
              <w:jc w:val="center"/>
              <w:rPr>
                <w:lang w:eastAsia="zh-CN"/>
              </w:rPr>
            </w:pPr>
            <w:r>
              <w:rPr>
                <w:rFonts w:hint="eastAsia"/>
                <w:lang w:val="en-US" w:eastAsia="zh-CN"/>
              </w:rPr>
              <w:t>20.88</w:t>
            </w:r>
          </w:p>
        </w:tc>
        <w:tc>
          <w:tcPr>
            <w:tcW w:w="1151" w:type="dxa"/>
            <w:vAlign w:val="center"/>
          </w:tcPr>
          <w:p>
            <w:pPr>
              <w:widowControl w:val="0"/>
              <w:jc w:val="center"/>
              <w:rPr>
                <w:lang w:eastAsia="zh-CN"/>
              </w:rPr>
            </w:pPr>
            <w:r>
              <w:rPr>
                <w:rFonts w:hint="eastAsia"/>
                <w:lang w:val="en-US" w:eastAsia="zh-CN"/>
              </w:rPr>
              <w:t>42.38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Baseline(3 packets)</w:t>
            </w:r>
          </w:p>
        </w:tc>
        <w:tc>
          <w:tcPr>
            <w:tcW w:w="868" w:type="dxa"/>
            <w:vAlign w:val="center"/>
          </w:tcPr>
          <w:p>
            <w:pPr>
              <w:widowControl w:val="0"/>
              <w:jc w:val="center"/>
              <w:rPr>
                <w:lang w:eastAsia="zh-CN"/>
              </w:rPr>
            </w:pPr>
            <w:r>
              <w:rPr>
                <w:rFonts w:hint="eastAsia"/>
                <w:lang w:val="en-US" w:eastAsia="zh-CN"/>
              </w:rPr>
              <w:t>28.35</w:t>
            </w:r>
          </w:p>
        </w:tc>
        <w:tc>
          <w:tcPr>
            <w:tcW w:w="868" w:type="dxa"/>
            <w:vAlign w:val="center"/>
          </w:tcPr>
          <w:p>
            <w:pPr>
              <w:widowControl w:val="0"/>
              <w:jc w:val="center"/>
              <w:rPr>
                <w:lang w:eastAsia="zh-CN"/>
              </w:rPr>
            </w:pPr>
            <w:r>
              <w:rPr>
                <w:rFonts w:hint="eastAsia"/>
                <w:lang w:val="en-US" w:eastAsia="zh-CN"/>
              </w:rPr>
              <w:t>35.87</w:t>
            </w:r>
          </w:p>
        </w:tc>
        <w:tc>
          <w:tcPr>
            <w:tcW w:w="951" w:type="dxa"/>
            <w:vAlign w:val="center"/>
          </w:tcPr>
          <w:p>
            <w:pPr>
              <w:widowControl w:val="0"/>
              <w:jc w:val="center"/>
              <w:rPr>
                <w:lang w:eastAsia="zh-CN"/>
              </w:rPr>
            </w:pPr>
            <w:r>
              <w:rPr>
                <w:rFonts w:hint="eastAsia"/>
                <w:lang w:val="en-US" w:eastAsia="zh-CN"/>
              </w:rPr>
              <w:t>23.16</w:t>
            </w:r>
          </w:p>
        </w:tc>
        <w:tc>
          <w:tcPr>
            <w:tcW w:w="1051" w:type="dxa"/>
            <w:vAlign w:val="center"/>
          </w:tcPr>
          <w:p>
            <w:pPr>
              <w:widowControl w:val="0"/>
              <w:jc w:val="center"/>
              <w:rPr>
                <w:lang w:eastAsia="zh-CN"/>
              </w:rPr>
            </w:pPr>
            <w:r>
              <w:rPr>
                <w:rFonts w:hint="eastAsia"/>
                <w:lang w:val="en-US" w:eastAsia="zh-CN"/>
              </w:rPr>
              <w:t>41.59</w:t>
            </w:r>
          </w:p>
        </w:tc>
        <w:tc>
          <w:tcPr>
            <w:tcW w:w="1051" w:type="dxa"/>
            <w:vAlign w:val="center"/>
          </w:tcPr>
          <w:p>
            <w:pPr>
              <w:widowControl w:val="0"/>
              <w:jc w:val="center"/>
              <w:rPr>
                <w:lang w:eastAsia="zh-CN"/>
              </w:rPr>
            </w:pPr>
            <w:r>
              <w:rPr>
                <w:rFonts w:hint="eastAsia"/>
                <w:lang w:val="en-US" w:eastAsia="zh-CN"/>
              </w:rPr>
              <w:t>28.58</w:t>
            </w:r>
          </w:p>
        </w:tc>
        <w:tc>
          <w:tcPr>
            <w:tcW w:w="1151" w:type="dxa"/>
            <w:vAlign w:val="center"/>
          </w:tcPr>
          <w:p>
            <w:pPr>
              <w:widowControl w:val="0"/>
              <w:jc w:val="center"/>
              <w:rPr>
                <w:lang w:eastAsia="zh-CN"/>
              </w:rPr>
            </w:pPr>
            <w:r>
              <w:rPr>
                <w:rFonts w:hint="eastAsia"/>
                <w:lang w:val="en-US" w:eastAsia="zh-CN"/>
              </w:rPr>
              <w:t>58.99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Multi-slot(3 packets)</w:t>
            </w:r>
          </w:p>
        </w:tc>
        <w:tc>
          <w:tcPr>
            <w:tcW w:w="868" w:type="dxa"/>
            <w:vAlign w:val="center"/>
          </w:tcPr>
          <w:p>
            <w:pPr>
              <w:widowControl w:val="0"/>
              <w:jc w:val="center"/>
              <w:rPr>
                <w:lang w:eastAsia="zh-CN"/>
              </w:rPr>
            </w:pPr>
            <w:r>
              <w:rPr>
                <w:rFonts w:hint="eastAsia"/>
                <w:lang w:val="en-US" w:eastAsia="zh-CN"/>
              </w:rPr>
              <w:t>27.68</w:t>
            </w:r>
          </w:p>
        </w:tc>
        <w:tc>
          <w:tcPr>
            <w:tcW w:w="868" w:type="dxa"/>
            <w:vAlign w:val="center"/>
          </w:tcPr>
          <w:p>
            <w:pPr>
              <w:widowControl w:val="0"/>
              <w:jc w:val="center"/>
              <w:rPr>
                <w:lang w:eastAsia="zh-CN"/>
              </w:rPr>
            </w:pPr>
            <w:r>
              <w:rPr>
                <w:rFonts w:hint="eastAsia"/>
                <w:lang w:val="en-US" w:eastAsia="zh-CN"/>
              </w:rPr>
              <w:t>35.31</w:t>
            </w:r>
          </w:p>
        </w:tc>
        <w:tc>
          <w:tcPr>
            <w:tcW w:w="951" w:type="dxa"/>
            <w:vAlign w:val="center"/>
          </w:tcPr>
          <w:p>
            <w:pPr>
              <w:widowControl w:val="0"/>
              <w:jc w:val="center"/>
              <w:rPr>
                <w:lang w:eastAsia="zh-CN"/>
              </w:rPr>
            </w:pPr>
            <w:r>
              <w:rPr>
                <w:rFonts w:hint="eastAsia"/>
                <w:lang w:val="en-US" w:eastAsia="zh-CN"/>
              </w:rPr>
              <w:t>22.67</w:t>
            </w:r>
          </w:p>
        </w:tc>
        <w:tc>
          <w:tcPr>
            <w:tcW w:w="1051" w:type="dxa"/>
            <w:vAlign w:val="center"/>
          </w:tcPr>
          <w:p>
            <w:pPr>
              <w:widowControl w:val="0"/>
              <w:jc w:val="center"/>
              <w:rPr>
                <w:lang w:eastAsia="zh-CN"/>
              </w:rPr>
            </w:pPr>
            <w:r>
              <w:rPr>
                <w:rFonts w:hint="eastAsia"/>
                <w:lang w:val="en-US" w:eastAsia="zh-CN"/>
              </w:rPr>
              <w:t>41.08</w:t>
            </w:r>
          </w:p>
        </w:tc>
        <w:tc>
          <w:tcPr>
            <w:tcW w:w="1051" w:type="dxa"/>
            <w:vAlign w:val="center"/>
          </w:tcPr>
          <w:p>
            <w:pPr>
              <w:widowControl w:val="0"/>
              <w:jc w:val="center"/>
              <w:rPr>
                <w:lang w:eastAsia="zh-CN"/>
              </w:rPr>
            </w:pPr>
            <w:r>
              <w:rPr>
                <w:rFonts w:hint="eastAsia"/>
                <w:lang w:val="en-US" w:eastAsia="zh-CN"/>
              </w:rPr>
              <w:t>28.17</w:t>
            </w:r>
          </w:p>
        </w:tc>
        <w:tc>
          <w:tcPr>
            <w:tcW w:w="1151" w:type="dxa"/>
            <w:vAlign w:val="center"/>
          </w:tcPr>
          <w:p>
            <w:pPr>
              <w:widowControl w:val="0"/>
              <w:jc w:val="center"/>
              <w:rPr>
                <w:lang w:eastAsia="zh-CN"/>
              </w:rPr>
            </w:pPr>
            <w:r>
              <w:rPr>
                <w:rFonts w:hint="eastAsia"/>
                <w:lang w:val="en-US" w:eastAsia="zh-CN"/>
              </w:rPr>
              <w:t>58.65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Cross-slot(3 packets)</w:t>
            </w:r>
          </w:p>
        </w:tc>
        <w:tc>
          <w:tcPr>
            <w:tcW w:w="868" w:type="dxa"/>
            <w:vAlign w:val="center"/>
          </w:tcPr>
          <w:p>
            <w:pPr>
              <w:widowControl w:val="0"/>
              <w:jc w:val="center"/>
              <w:rPr>
                <w:lang w:eastAsia="zh-CN"/>
              </w:rPr>
            </w:pPr>
            <w:r>
              <w:rPr>
                <w:rFonts w:hint="eastAsia"/>
                <w:lang w:val="en-US" w:eastAsia="zh-CN"/>
              </w:rPr>
              <w:t>24.36</w:t>
            </w:r>
          </w:p>
        </w:tc>
        <w:tc>
          <w:tcPr>
            <w:tcW w:w="868" w:type="dxa"/>
            <w:vAlign w:val="center"/>
          </w:tcPr>
          <w:p>
            <w:pPr>
              <w:widowControl w:val="0"/>
              <w:jc w:val="center"/>
              <w:rPr>
                <w:lang w:eastAsia="zh-CN"/>
              </w:rPr>
            </w:pPr>
            <w:r>
              <w:rPr>
                <w:rFonts w:hint="eastAsia"/>
                <w:lang w:val="en-US" w:eastAsia="zh-CN"/>
              </w:rPr>
              <w:t>29.42</w:t>
            </w:r>
          </w:p>
        </w:tc>
        <w:tc>
          <w:tcPr>
            <w:tcW w:w="951" w:type="dxa"/>
            <w:vAlign w:val="center"/>
          </w:tcPr>
          <w:p>
            <w:pPr>
              <w:widowControl w:val="0"/>
              <w:jc w:val="center"/>
              <w:rPr>
                <w:lang w:eastAsia="zh-CN"/>
              </w:rPr>
            </w:pPr>
            <w:r>
              <w:rPr>
                <w:rFonts w:hint="eastAsia"/>
                <w:lang w:val="en-US" w:eastAsia="zh-CN"/>
              </w:rPr>
              <w:t>18.40</w:t>
            </w:r>
          </w:p>
        </w:tc>
        <w:tc>
          <w:tcPr>
            <w:tcW w:w="1051" w:type="dxa"/>
            <w:vAlign w:val="center"/>
          </w:tcPr>
          <w:p>
            <w:pPr>
              <w:widowControl w:val="0"/>
              <w:jc w:val="center"/>
              <w:rPr>
                <w:lang w:eastAsia="zh-CN"/>
              </w:rPr>
            </w:pPr>
            <w:r>
              <w:rPr>
                <w:rFonts w:hint="eastAsia"/>
                <w:lang w:val="en-US" w:eastAsia="zh-CN"/>
              </w:rPr>
              <w:t>31.41</w:t>
            </w:r>
          </w:p>
        </w:tc>
        <w:tc>
          <w:tcPr>
            <w:tcW w:w="1051" w:type="dxa"/>
            <w:vAlign w:val="center"/>
          </w:tcPr>
          <w:p>
            <w:pPr>
              <w:widowControl w:val="0"/>
              <w:jc w:val="center"/>
              <w:rPr>
                <w:lang w:eastAsia="zh-CN"/>
              </w:rPr>
            </w:pPr>
            <w:r>
              <w:rPr>
                <w:rFonts w:hint="eastAsia"/>
                <w:lang w:val="en-US" w:eastAsia="zh-CN"/>
              </w:rPr>
              <w:t>21.87</w:t>
            </w:r>
          </w:p>
        </w:tc>
        <w:tc>
          <w:tcPr>
            <w:tcW w:w="1151" w:type="dxa"/>
            <w:vAlign w:val="center"/>
          </w:tcPr>
          <w:p>
            <w:pPr>
              <w:widowControl w:val="0"/>
              <w:jc w:val="center"/>
              <w:rPr>
                <w:lang w:eastAsia="zh-CN"/>
              </w:rPr>
            </w:pPr>
            <w:r>
              <w:rPr>
                <w:rFonts w:hint="eastAsia"/>
                <w:lang w:val="en-US" w:eastAsia="zh-CN"/>
              </w:rPr>
              <w:t>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Baseline(4 packets)</w:t>
            </w:r>
          </w:p>
        </w:tc>
        <w:tc>
          <w:tcPr>
            <w:tcW w:w="868" w:type="dxa"/>
            <w:vAlign w:val="center"/>
          </w:tcPr>
          <w:p>
            <w:pPr>
              <w:widowControl w:val="0"/>
              <w:jc w:val="center"/>
              <w:rPr>
                <w:lang w:eastAsia="zh-CN"/>
              </w:rPr>
            </w:pPr>
            <w:r>
              <w:rPr>
                <w:rFonts w:hint="eastAsia"/>
                <w:lang w:val="en-US" w:eastAsia="zh-CN"/>
              </w:rPr>
              <w:t>29.38</w:t>
            </w:r>
          </w:p>
        </w:tc>
        <w:tc>
          <w:tcPr>
            <w:tcW w:w="868" w:type="dxa"/>
            <w:vAlign w:val="center"/>
          </w:tcPr>
          <w:p>
            <w:pPr>
              <w:widowControl w:val="0"/>
              <w:jc w:val="center"/>
              <w:rPr>
                <w:lang w:eastAsia="zh-CN"/>
              </w:rPr>
            </w:pPr>
            <w:r>
              <w:rPr>
                <w:rFonts w:hint="eastAsia"/>
                <w:lang w:val="en-US" w:eastAsia="zh-CN"/>
              </w:rPr>
              <w:t>36.84</w:t>
            </w:r>
          </w:p>
        </w:tc>
        <w:tc>
          <w:tcPr>
            <w:tcW w:w="951" w:type="dxa"/>
            <w:vAlign w:val="center"/>
          </w:tcPr>
          <w:p>
            <w:pPr>
              <w:widowControl w:val="0"/>
              <w:jc w:val="center"/>
              <w:rPr>
                <w:lang w:eastAsia="zh-CN"/>
              </w:rPr>
            </w:pPr>
            <w:r>
              <w:rPr>
                <w:rFonts w:hint="eastAsia"/>
                <w:lang w:val="en-US" w:eastAsia="zh-CN"/>
              </w:rPr>
              <w:t>24.19</w:t>
            </w:r>
          </w:p>
        </w:tc>
        <w:tc>
          <w:tcPr>
            <w:tcW w:w="1051" w:type="dxa"/>
            <w:vAlign w:val="center"/>
          </w:tcPr>
          <w:p>
            <w:pPr>
              <w:widowControl w:val="0"/>
              <w:jc w:val="center"/>
              <w:rPr>
                <w:lang w:eastAsia="zh-CN"/>
              </w:rPr>
            </w:pPr>
            <w:r>
              <w:rPr>
                <w:rFonts w:hint="eastAsia"/>
                <w:lang w:val="en-US" w:eastAsia="zh-CN"/>
              </w:rPr>
              <w:t>42.67</w:t>
            </w:r>
          </w:p>
        </w:tc>
        <w:tc>
          <w:tcPr>
            <w:tcW w:w="1051" w:type="dxa"/>
            <w:vAlign w:val="center"/>
          </w:tcPr>
          <w:p>
            <w:pPr>
              <w:widowControl w:val="0"/>
              <w:jc w:val="center"/>
              <w:rPr>
                <w:lang w:eastAsia="zh-CN"/>
              </w:rPr>
            </w:pPr>
            <w:r>
              <w:rPr>
                <w:rFonts w:hint="eastAsia"/>
                <w:lang w:val="en-US" w:eastAsia="zh-CN"/>
              </w:rPr>
              <w:t>29.72</w:t>
            </w:r>
          </w:p>
        </w:tc>
        <w:tc>
          <w:tcPr>
            <w:tcW w:w="1151" w:type="dxa"/>
            <w:vAlign w:val="center"/>
          </w:tcPr>
          <w:p>
            <w:pPr>
              <w:widowControl w:val="0"/>
              <w:jc w:val="center"/>
              <w:rPr>
                <w:lang w:eastAsia="zh-CN"/>
              </w:rPr>
            </w:pPr>
            <w:r>
              <w:rPr>
                <w:rFonts w:hint="eastAsia"/>
                <w:lang w:val="en-US" w:eastAsia="zh-CN"/>
              </w:rPr>
              <w:t>59.88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Multi-slot(4 packets)</w:t>
            </w:r>
          </w:p>
        </w:tc>
        <w:tc>
          <w:tcPr>
            <w:tcW w:w="868" w:type="dxa"/>
            <w:vAlign w:val="center"/>
          </w:tcPr>
          <w:p>
            <w:pPr>
              <w:widowControl w:val="0"/>
              <w:jc w:val="center"/>
              <w:rPr>
                <w:lang w:eastAsia="zh-CN"/>
              </w:rPr>
            </w:pPr>
            <w:r>
              <w:rPr>
                <w:rFonts w:hint="eastAsia"/>
                <w:lang w:val="en-US" w:eastAsia="zh-CN"/>
              </w:rPr>
              <w:t>28.38</w:t>
            </w:r>
          </w:p>
        </w:tc>
        <w:tc>
          <w:tcPr>
            <w:tcW w:w="868" w:type="dxa"/>
            <w:vAlign w:val="center"/>
          </w:tcPr>
          <w:p>
            <w:pPr>
              <w:widowControl w:val="0"/>
              <w:jc w:val="center"/>
              <w:rPr>
                <w:lang w:eastAsia="zh-CN"/>
              </w:rPr>
            </w:pPr>
            <w:r>
              <w:rPr>
                <w:rFonts w:hint="eastAsia"/>
                <w:lang w:val="en-US" w:eastAsia="zh-CN"/>
              </w:rPr>
              <w:t>35.99</w:t>
            </w:r>
          </w:p>
        </w:tc>
        <w:tc>
          <w:tcPr>
            <w:tcW w:w="951" w:type="dxa"/>
            <w:vAlign w:val="center"/>
          </w:tcPr>
          <w:p>
            <w:pPr>
              <w:widowControl w:val="0"/>
              <w:jc w:val="center"/>
              <w:rPr>
                <w:lang w:eastAsia="zh-CN"/>
              </w:rPr>
            </w:pPr>
            <w:r>
              <w:rPr>
                <w:rFonts w:hint="eastAsia"/>
                <w:lang w:val="en-US" w:eastAsia="zh-CN"/>
              </w:rPr>
              <w:t>23.50</w:t>
            </w:r>
          </w:p>
        </w:tc>
        <w:tc>
          <w:tcPr>
            <w:tcW w:w="1051" w:type="dxa"/>
            <w:vAlign w:val="center"/>
          </w:tcPr>
          <w:p>
            <w:pPr>
              <w:widowControl w:val="0"/>
              <w:jc w:val="center"/>
              <w:rPr>
                <w:lang w:eastAsia="zh-CN"/>
              </w:rPr>
            </w:pPr>
            <w:r>
              <w:rPr>
                <w:rFonts w:hint="eastAsia"/>
                <w:lang w:val="en-US" w:eastAsia="zh-CN"/>
              </w:rPr>
              <w:t>41.86</w:t>
            </w:r>
          </w:p>
        </w:tc>
        <w:tc>
          <w:tcPr>
            <w:tcW w:w="1051" w:type="dxa"/>
            <w:vAlign w:val="center"/>
          </w:tcPr>
          <w:p>
            <w:pPr>
              <w:widowControl w:val="0"/>
              <w:jc w:val="center"/>
              <w:rPr>
                <w:lang w:eastAsia="zh-CN"/>
              </w:rPr>
            </w:pPr>
            <w:r>
              <w:rPr>
                <w:rFonts w:hint="eastAsia"/>
                <w:lang w:val="en-US" w:eastAsia="zh-CN"/>
              </w:rPr>
              <w:t>28.96</w:t>
            </w:r>
          </w:p>
        </w:tc>
        <w:tc>
          <w:tcPr>
            <w:tcW w:w="1151" w:type="dxa"/>
            <w:vAlign w:val="center"/>
          </w:tcPr>
          <w:p>
            <w:pPr>
              <w:widowControl w:val="0"/>
              <w:jc w:val="center"/>
              <w:rPr>
                <w:lang w:val="en-US" w:eastAsia="zh-CN"/>
              </w:rPr>
            </w:pPr>
            <w:r>
              <w:rPr>
                <w:rFonts w:hint="eastAsia"/>
                <w:lang w:val="en-US" w:eastAsia="zh-CN"/>
              </w:rPr>
              <w:t>59.33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Cross-slot(4 packets)</w:t>
            </w:r>
          </w:p>
        </w:tc>
        <w:tc>
          <w:tcPr>
            <w:tcW w:w="868" w:type="dxa"/>
            <w:vAlign w:val="center"/>
          </w:tcPr>
          <w:p>
            <w:pPr>
              <w:widowControl w:val="0"/>
              <w:jc w:val="center"/>
              <w:rPr>
                <w:lang w:val="en-US" w:eastAsia="zh-CN"/>
              </w:rPr>
            </w:pPr>
            <w:r>
              <w:rPr>
                <w:rFonts w:hint="eastAsia"/>
                <w:lang w:val="en-US" w:eastAsia="zh-CN"/>
              </w:rPr>
              <w:t>25.40</w:t>
            </w:r>
          </w:p>
        </w:tc>
        <w:tc>
          <w:tcPr>
            <w:tcW w:w="868" w:type="dxa"/>
            <w:vAlign w:val="center"/>
          </w:tcPr>
          <w:p>
            <w:pPr>
              <w:widowControl w:val="0"/>
              <w:jc w:val="center"/>
              <w:rPr>
                <w:lang w:eastAsia="zh-CN"/>
              </w:rPr>
            </w:pPr>
            <w:r>
              <w:rPr>
                <w:rFonts w:hint="eastAsia"/>
                <w:lang w:val="en-US" w:eastAsia="zh-CN"/>
              </w:rPr>
              <w:t>30.40</w:t>
            </w:r>
          </w:p>
        </w:tc>
        <w:tc>
          <w:tcPr>
            <w:tcW w:w="951" w:type="dxa"/>
            <w:vAlign w:val="center"/>
          </w:tcPr>
          <w:p>
            <w:pPr>
              <w:widowControl w:val="0"/>
              <w:jc w:val="center"/>
              <w:rPr>
                <w:lang w:eastAsia="zh-CN"/>
              </w:rPr>
            </w:pPr>
            <w:r>
              <w:rPr>
                <w:rFonts w:hint="eastAsia"/>
                <w:lang w:val="en-US" w:eastAsia="zh-CN"/>
              </w:rPr>
              <w:t>19.44</w:t>
            </w:r>
          </w:p>
        </w:tc>
        <w:tc>
          <w:tcPr>
            <w:tcW w:w="1051" w:type="dxa"/>
            <w:vAlign w:val="center"/>
          </w:tcPr>
          <w:p>
            <w:pPr>
              <w:widowControl w:val="0"/>
              <w:jc w:val="center"/>
              <w:rPr>
                <w:lang w:eastAsia="zh-CN"/>
              </w:rPr>
            </w:pPr>
            <w:r>
              <w:rPr>
                <w:rFonts w:hint="eastAsia"/>
                <w:lang w:val="en-US" w:eastAsia="zh-CN"/>
              </w:rPr>
              <w:t>32.48</w:t>
            </w:r>
          </w:p>
        </w:tc>
        <w:tc>
          <w:tcPr>
            <w:tcW w:w="1051" w:type="dxa"/>
            <w:vAlign w:val="center"/>
          </w:tcPr>
          <w:p>
            <w:pPr>
              <w:widowControl w:val="0"/>
              <w:jc w:val="center"/>
              <w:rPr>
                <w:lang w:eastAsia="zh-CN"/>
              </w:rPr>
            </w:pPr>
            <w:r>
              <w:rPr>
                <w:rFonts w:hint="eastAsia"/>
                <w:lang w:val="en-US" w:eastAsia="zh-CN"/>
              </w:rPr>
              <w:t>22.99</w:t>
            </w:r>
          </w:p>
        </w:tc>
        <w:tc>
          <w:tcPr>
            <w:tcW w:w="1151" w:type="dxa"/>
            <w:vAlign w:val="center"/>
          </w:tcPr>
          <w:p>
            <w:pPr>
              <w:widowControl w:val="0"/>
              <w:jc w:val="center"/>
              <w:rPr>
                <w:lang w:eastAsia="zh-CN"/>
              </w:rPr>
            </w:pPr>
            <w:r>
              <w:rPr>
                <w:rFonts w:hint="eastAsia"/>
                <w:lang w:val="en-US" w:eastAsia="zh-CN"/>
              </w:rPr>
              <w:t>44.27</w:t>
            </w:r>
          </w:p>
        </w:tc>
      </w:tr>
    </w:tbl>
    <w:p>
      <w:pPr>
        <w:tabs>
          <w:tab w:val="left" w:pos="2361"/>
        </w:tabs>
        <w:rPr>
          <w:lang w:eastAsia="zh-CN"/>
        </w:rPr>
      </w:pPr>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DengXian">
    <w:altName w:val="宋体"/>
    <w:panose1 w:val="00000000000000000000"/>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auto"/>
    <w:pitch w:val="default"/>
    <w:sig w:usb0="E0002AFF" w:usb1="C0007843" w:usb2="00000009" w:usb3="00000000" w:csb0="400001FF" w:csb1="FFFF0000"/>
  </w:font>
  <w:font w:name="Latha">
    <w:panose1 w:val="020B0604020202020204"/>
    <w:charset w:val="00"/>
    <w:family w:val="auto"/>
    <w:pitch w:val="default"/>
    <w:sig w:usb0="00100003"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5</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362FDD7"/>
    <w:multiLevelType w:val="singleLevel"/>
    <w:tmpl w:val="0362FDD7"/>
    <w:lvl w:ilvl="0" w:tentative="0">
      <w:start w:val="1"/>
      <w:numFmt w:val="upperLetter"/>
      <w:lvlText w:val="%1."/>
      <w:lvlJc w:val="left"/>
      <w:pPr>
        <w:tabs>
          <w:tab w:val="left" w:pos="312"/>
        </w:tabs>
      </w:pPr>
    </w:lvl>
  </w:abstractNum>
  <w:abstractNum w:abstractNumId="2">
    <w:nsid w:val="0D67560A"/>
    <w:multiLevelType w:val="multilevel"/>
    <w:tmpl w:val="0D67560A"/>
    <w:lvl w:ilvl="0" w:tentative="0">
      <w:start w:val="1"/>
      <w:numFmt w:val="decimalZero"/>
      <w:pStyle w:val="120"/>
      <w:lvlText w:val="[00%1]"/>
      <w:lvlJc w:val="left"/>
      <w:pPr>
        <w:tabs>
          <w:tab w:val="left" w:pos="1080"/>
        </w:tabs>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27676297"/>
    <w:multiLevelType w:val="multilevel"/>
    <w:tmpl w:val="27676297"/>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EE50E7"/>
    <w:multiLevelType w:val="multilevel"/>
    <w:tmpl w:val="2CEE50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8154227"/>
    <w:multiLevelType w:val="multilevel"/>
    <w:tmpl w:val="38154227"/>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26B4A38"/>
    <w:multiLevelType w:val="multilevel"/>
    <w:tmpl w:val="426B4A38"/>
    <w:lvl w:ilvl="0" w:tentative="0">
      <w:start w:val="1"/>
      <w:numFmt w:val="decimalZero"/>
      <w:pStyle w:val="118"/>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4BDF65F6"/>
    <w:multiLevelType w:val="multilevel"/>
    <w:tmpl w:val="4BDF65F6"/>
    <w:lvl w:ilvl="0" w:tentative="0">
      <w:start w:val="1"/>
      <w:numFmt w:val="decimal"/>
      <w:pStyle w:val="10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7C1CE6"/>
    <w:multiLevelType w:val="multilevel"/>
    <w:tmpl w:val="527C1CE6"/>
    <w:lvl w:ilvl="0" w:tentative="0">
      <w:start w:val="1"/>
      <w:numFmt w:val="bullet"/>
      <w:lvlText w:val=""/>
      <w:lvlJc w:val="left"/>
      <w:pPr>
        <w:ind w:left="1800" w:hanging="360"/>
      </w:pPr>
      <w:rPr>
        <w:rFonts w:hint="default" w:ascii="Symbol" w:hAnsi="Symbol"/>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9">
    <w:nsid w:val="55590569"/>
    <w:multiLevelType w:val="multilevel"/>
    <w:tmpl w:val="555905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2F23B8C"/>
    <w:multiLevelType w:val="multilevel"/>
    <w:tmpl w:val="62F23B8C"/>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lvlText w:val="%1.%2"/>
      <w:lvlJc w:val="left"/>
      <w:pPr>
        <w:ind w:left="576" w:hanging="576"/>
      </w:pPr>
    </w:lvl>
    <w:lvl w:ilvl="2" w:tentative="0">
      <w:start w:val="1"/>
      <w:numFmt w:val="decimal"/>
      <w:lvlText w:val="%1.%2.%3"/>
      <w:lvlJc w:val="left"/>
      <w:pPr>
        <w:ind w:left="117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2">
    <w:nsid w:val="7BC330F5"/>
    <w:multiLevelType w:val="multilevel"/>
    <w:tmpl w:val="7BC330F5"/>
    <w:lvl w:ilvl="0" w:tentative="0">
      <w:start w:val="1"/>
      <w:numFmt w:val="bullet"/>
      <w:pStyle w:val="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EB48B6B"/>
    <w:multiLevelType w:val="singleLevel"/>
    <w:tmpl w:val="7EB48B6B"/>
    <w:lvl w:ilvl="0" w:tentative="0">
      <w:start w:val="1"/>
      <w:numFmt w:val="upperLetter"/>
      <w:suff w:val="space"/>
      <w:lvlText w:val="%1."/>
      <w:lvlJc w:val="left"/>
    </w:lvl>
  </w:abstractNum>
  <w:num w:numId="1">
    <w:abstractNumId w:val="11"/>
  </w:num>
  <w:num w:numId="2">
    <w:abstractNumId w:val="12"/>
  </w:num>
  <w:num w:numId="3">
    <w:abstractNumId w:val="7"/>
  </w:num>
  <w:num w:numId="4">
    <w:abstractNumId w:val="6"/>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3"/>
  </w:num>
  <w:num w:numId="10">
    <w:abstractNumId w:val="4"/>
  </w:num>
  <w:num w:numId="11">
    <w:abstractNumId w:val="9"/>
  </w:num>
  <w:num w:numId="12">
    <w:abstractNumId w:val="8"/>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F2"/>
    <w:rsid w:val="00005888"/>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2BAC"/>
    <w:rsid w:val="0009366F"/>
    <w:rsid w:val="000A4674"/>
    <w:rsid w:val="000A54A0"/>
    <w:rsid w:val="000A5C7B"/>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A27"/>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0B61"/>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0C9"/>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1AF1"/>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184"/>
    <w:rsid w:val="00443C0C"/>
    <w:rsid w:val="00444622"/>
    <w:rsid w:val="00445819"/>
    <w:rsid w:val="00445F4D"/>
    <w:rsid w:val="0044621C"/>
    <w:rsid w:val="00451124"/>
    <w:rsid w:val="004513CC"/>
    <w:rsid w:val="00451F13"/>
    <w:rsid w:val="00452789"/>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8037E"/>
    <w:rsid w:val="00483B91"/>
    <w:rsid w:val="004860E9"/>
    <w:rsid w:val="00490956"/>
    <w:rsid w:val="00491324"/>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2571"/>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2E92"/>
    <w:rsid w:val="005F303E"/>
    <w:rsid w:val="005F44C4"/>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4674"/>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3F99"/>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5B9F"/>
    <w:rsid w:val="008066F5"/>
    <w:rsid w:val="008101A3"/>
    <w:rsid w:val="00811C08"/>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3C0"/>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7A8B"/>
    <w:rsid w:val="00930BBC"/>
    <w:rsid w:val="00932840"/>
    <w:rsid w:val="0093430A"/>
    <w:rsid w:val="009400B1"/>
    <w:rsid w:val="00940183"/>
    <w:rsid w:val="0094086C"/>
    <w:rsid w:val="00941159"/>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1E51"/>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A439B"/>
    <w:rsid w:val="009B1FD4"/>
    <w:rsid w:val="009B36D4"/>
    <w:rsid w:val="009B4D46"/>
    <w:rsid w:val="009B6373"/>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1372"/>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6181"/>
    <w:rsid w:val="00C76CF3"/>
    <w:rsid w:val="00C77820"/>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0F01"/>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2AB0"/>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19B0"/>
    <w:rsid w:val="00EE2C6A"/>
    <w:rsid w:val="00EE31DA"/>
    <w:rsid w:val="00EE472D"/>
    <w:rsid w:val="00EE5B85"/>
    <w:rsid w:val="00EE6F87"/>
    <w:rsid w:val="00EF34AD"/>
    <w:rsid w:val="00EF4416"/>
    <w:rsid w:val="00EF5AD3"/>
    <w:rsid w:val="00EF6656"/>
    <w:rsid w:val="00EF6FDF"/>
    <w:rsid w:val="00F006DC"/>
    <w:rsid w:val="00F00A5C"/>
    <w:rsid w:val="00F02A36"/>
    <w:rsid w:val="00F0339C"/>
    <w:rsid w:val="00F04863"/>
    <w:rsid w:val="00F07FC1"/>
    <w:rsid w:val="00F113D3"/>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28C2"/>
    <w:rsid w:val="00FA3165"/>
    <w:rsid w:val="00FA42E7"/>
    <w:rsid w:val="00FA46C7"/>
    <w:rsid w:val="00FA63E7"/>
    <w:rsid w:val="00FA78F0"/>
    <w:rsid w:val="00FB31EA"/>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 w:val="01043FD2"/>
    <w:rsid w:val="01077F8B"/>
    <w:rsid w:val="01094DFC"/>
    <w:rsid w:val="010D5E71"/>
    <w:rsid w:val="011F38EC"/>
    <w:rsid w:val="01266A32"/>
    <w:rsid w:val="01320C60"/>
    <w:rsid w:val="013C26EC"/>
    <w:rsid w:val="0146596B"/>
    <w:rsid w:val="01514DA4"/>
    <w:rsid w:val="015B32BA"/>
    <w:rsid w:val="01625704"/>
    <w:rsid w:val="016C45A9"/>
    <w:rsid w:val="016E3F7B"/>
    <w:rsid w:val="018E12C8"/>
    <w:rsid w:val="01BD0E67"/>
    <w:rsid w:val="01C80660"/>
    <w:rsid w:val="01E47AE9"/>
    <w:rsid w:val="02191639"/>
    <w:rsid w:val="021C5238"/>
    <w:rsid w:val="022565D7"/>
    <w:rsid w:val="02295744"/>
    <w:rsid w:val="02306F15"/>
    <w:rsid w:val="023B241D"/>
    <w:rsid w:val="02550065"/>
    <w:rsid w:val="02604CDB"/>
    <w:rsid w:val="0262776E"/>
    <w:rsid w:val="02756659"/>
    <w:rsid w:val="02844517"/>
    <w:rsid w:val="028C7AC3"/>
    <w:rsid w:val="028E0B90"/>
    <w:rsid w:val="02A00B74"/>
    <w:rsid w:val="02A54050"/>
    <w:rsid w:val="02AB0C6D"/>
    <w:rsid w:val="02AB524C"/>
    <w:rsid w:val="02C11689"/>
    <w:rsid w:val="02C63400"/>
    <w:rsid w:val="02D14726"/>
    <w:rsid w:val="02DE5189"/>
    <w:rsid w:val="02E84EB5"/>
    <w:rsid w:val="02F85543"/>
    <w:rsid w:val="03077DC9"/>
    <w:rsid w:val="03092B03"/>
    <w:rsid w:val="03121A1E"/>
    <w:rsid w:val="03166846"/>
    <w:rsid w:val="032D07A1"/>
    <w:rsid w:val="033B279D"/>
    <w:rsid w:val="03484585"/>
    <w:rsid w:val="034F1CDB"/>
    <w:rsid w:val="035045EC"/>
    <w:rsid w:val="03585195"/>
    <w:rsid w:val="036C5BC9"/>
    <w:rsid w:val="037013FD"/>
    <w:rsid w:val="03843D7B"/>
    <w:rsid w:val="039B41A1"/>
    <w:rsid w:val="039B64AD"/>
    <w:rsid w:val="039D0729"/>
    <w:rsid w:val="03AF4EBA"/>
    <w:rsid w:val="03BB3D6D"/>
    <w:rsid w:val="03CD46F2"/>
    <w:rsid w:val="03D4464A"/>
    <w:rsid w:val="03FD32C6"/>
    <w:rsid w:val="04334648"/>
    <w:rsid w:val="045B083A"/>
    <w:rsid w:val="045E7BB2"/>
    <w:rsid w:val="046051A6"/>
    <w:rsid w:val="046750CB"/>
    <w:rsid w:val="046C7F2D"/>
    <w:rsid w:val="046E17D6"/>
    <w:rsid w:val="047D0FCD"/>
    <w:rsid w:val="047E11E6"/>
    <w:rsid w:val="04B1004B"/>
    <w:rsid w:val="04B30477"/>
    <w:rsid w:val="04C04235"/>
    <w:rsid w:val="04C66A00"/>
    <w:rsid w:val="04C9058F"/>
    <w:rsid w:val="04CE1517"/>
    <w:rsid w:val="04DF7BF8"/>
    <w:rsid w:val="05114091"/>
    <w:rsid w:val="051519C0"/>
    <w:rsid w:val="051A2205"/>
    <w:rsid w:val="055927F2"/>
    <w:rsid w:val="05711804"/>
    <w:rsid w:val="05724E54"/>
    <w:rsid w:val="05810F49"/>
    <w:rsid w:val="05862AE7"/>
    <w:rsid w:val="05867CC1"/>
    <w:rsid w:val="059E4BA8"/>
    <w:rsid w:val="05A472E3"/>
    <w:rsid w:val="05A831C9"/>
    <w:rsid w:val="05A916DB"/>
    <w:rsid w:val="05CA5A84"/>
    <w:rsid w:val="05D22F55"/>
    <w:rsid w:val="05D44294"/>
    <w:rsid w:val="05DF62DC"/>
    <w:rsid w:val="05F527E1"/>
    <w:rsid w:val="05FC2C0A"/>
    <w:rsid w:val="06041B4F"/>
    <w:rsid w:val="062B2B63"/>
    <w:rsid w:val="062F2EF5"/>
    <w:rsid w:val="066939C4"/>
    <w:rsid w:val="066E2D40"/>
    <w:rsid w:val="067944F0"/>
    <w:rsid w:val="067F11D1"/>
    <w:rsid w:val="06820187"/>
    <w:rsid w:val="068B5E00"/>
    <w:rsid w:val="068F2FB8"/>
    <w:rsid w:val="069E214E"/>
    <w:rsid w:val="06A417B3"/>
    <w:rsid w:val="06AD14F9"/>
    <w:rsid w:val="06B07448"/>
    <w:rsid w:val="06BA3A62"/>
    <w:rsid w:val="06BA7DD4"/>
    <w:rsid w:val="06BF1C6F"/>
    <w:rsid w:val="06D131D5"/>
    <w:rsid w:val="06D14C6B"/>
    <w:rsid w:val="06F170D3"/>
    <w:rsid w:val="071C0787"/>
    <w:rsid w:val="07294135"/>
    <w:rsid w:val="072D4E70"/>
    <w:rsid w:val="072E2B68"/>
    <w:rsid w:val="073932A2"/>
    <w:rsid w:val="073A7A07"/>
    <w:rsid w:val="074C6C1C"/>
    <w:rsid w:val="07535D71"/>
    <w:rsid w:val="0753717D"/>
    <w:rsid w:val="07571417"/>
    <w:rsid w:val="07596FB8"/>
    <w:rsid w:val="075D2248"/>
    <w:rsid w:val="076B6DAE"/>
    <w:rsid w:val="076E44FF"/>
    <w:rsid w:val="0785488E"/>
    <w:rsid w:val="078734B3"/>
    <w:rsid w:val="07983CA9"/>
    <w:rsid w:val="079C21BF"/>
    <w:rsid w:val="079E7AAE"/>
    <w:rsid w:val="07A34CE4"/>
    <w:rsid w:val="07AB3878"/>
    <w:rsid w:val="07AE76A7"/>
    <w:rsid w:val="07B74E42"/>
    <w:rsid w:val="07B86E62"/>
    <w:rsid w:val="07BC421E"/>
    <w:rsid w:val="07CB306C"/>
    <w:rsid w:val="07DD00E5"/>
    <w:rsid w:val="07DD693D"/>
    <w:rsid w:val="07DF471B"/>
    <w:rsid w:val="07E1667F"/>
    <w:rsid w:val="07FA0AD4"/>
    <w:rsid w:val="07FD0F94"/>
    <w:rsid w:val="08045628"/>
    <w:rsid w:val="082735B6"/>
    <w:rsid w:val="08282E90"/>
    <w:rsid w:val="082B31E0"/>
    <w:rsid w:val="083B1944"/>
    <w:rsid w:val="08452CBA"/>
    <w:rsid w:val="084675F8"/>
    <w:rsid w:val="08487A7A"/>
    <w:rsid w:val="08571033"/>
    <w:rsid w:val="085A5FE4"/>
    <w:rsid w:val="085F3448"/>
    <w:rsid w:val="08653000"/>
    <w:rsid w:val="087368D8"/>
    <w:rsid w:val="088C04E0"/>
    <w:rsid w:val="088E65A8"/>
    <w:rsid w:val="08AF3983"/>
    <w:rsid w:val="08B24849"/>
    <w:rsid w:val="08D74E31"/>
    <w:rsid w:val="08E56AF3"/>
    <w:rsid w:val="08EF77BC"/>
    <w:rsid w:val="09055DEA"/>
    <w:rsid w:val="091A3CC4"/>
    <w:rsid w:val="09215ED2"/>
    <w:rsid w:val="097D5049"/>
    <w:rsid w:val="097F23F1"/>
    <w:rsid w:val="098143A6"/>
    <w:rsid w:val="09A152A9"/>
    <w:rsid w:val="09BF1709"/>
    <w:rsid w:val="09C32481"/>
    <w:rsid w:val="09D3347A"/>
    <w:rsid w:val="0A061396"/>
    <w:rsid w:val="0A11414B"/>
    <w:rsid w:val="0A147FC8"/>
    <w:rsid w:val="0A191A53"/>
    <w:rsid w:val="0A1B2DFE"/>
    <w:rsid w:val="0A1E6157"/>
    <w:rsid w:val="0A257CDE"/>
    <w:rsid w:val="0A271E9C"/>
    <w:rsid w:val="0A2A34E4"/>
    <w:rsid w:val="0A2B1F7A"/>
    <w:rsid w:val="0A2F6B2E"/>
    <w:rsid w:val="0A3B410D"/>
    <w:rsid w:val="0A5E3091"/>
    <w:rsid w:val="0A656BAF"/>
    <w:rsid w:val="0A675700"/>
    <w:rsid w:val="0A6A027E"/>
    <w:rsid w:val="0A766A5B"/>
    <w:rsid w:val="0A8111FB"/>
    <w:rsid w:val="0A8823AD"/>
    <w:rsid w:val="0A8A60BF"/>
    <w:rsid w:val="0A9222F3"/>
    <w:rsid w:val="0A9745E0"/>
    <w:rsid w:val="0A9E26AB"/>
    <w:rsid w:val="0AB82A90"/>
    <w:rsid w:val="0AE02B53"/>
    <w:rsid w:val="0AFB0DF1"/>
    <w:rsid w:val="0B014181"/>
    <w:rsid w:val="0B080B08"/>
    <w:rsid w:val="0B2076AE"/>
    <w:rsid w:val="0B2F5145"/>
    <w:rsid w:val="0B387F92"/>
    <w:rsid w:val="0B3F1216"/>
    <w:rsid w:val="0B5A3187"/>
    <w:rsid w:val="0B615232"/>
    <w:rsid w:val="0B6D1B63"/>
    <w:rsid w:val="0B795D17"/>
    <w:rsid w:val="0B7B2399"/>
    <w:rsid w:val="0B8C5A99"/>
    <w:rsid w:val="0B902D5A"/>
    <w:rsid w:val="0BAA60A3"/>
    <w:rsid w:val="0BB53270"/>
    <w:rsid w:val="0BBB54E0"/>
    <w:rsid w:val="0BC975DA"/>
    <w:rsid w:val="0BCC1936"/>
    <w:rsid w:val="0BD50A7C"/>
    <w:rsid w:val="0BD82230"/>
    <w:rsid w:val="0BDD7260"/>
    <w:rsid w:val="0BE00559"/>
    <w:rsid w:val="0BE44037"/>
    <w:rsid w:val="0BEA5815"/>
    <w:rsid w:val="0C0D53EE"/>
    <w:rsid w:val="0C0F5FAC"/>
    <w:rsid w:val="0C24106C"/>
    <w:rsid w:val="0C3539BB"/>
    <w:rsid w:val="0C3700D7"/>
    <w:rsid w:val="0C496E6E"/>
    <w:rsid w:val="0C4E4E35"/>
    <w:rsid w:val="0C802224"/>
    <w:rsid w:val="0C820A91"/>
    <w:rsid w:val="0C8E1F27"/>
    <w:rsid w:val="0CA21A11"/>
    <w:rsid w:val="0CBE4E08"/>
    <w:rsid w:val="0CC55440"/>
    <w:rsid w:val="0CD47803"/>
    <w:rsid w:val="0CF6012F"/>
    <w:rsid w:val="0D044CA6"/>
    <w:rsid w:val="0D097D80"/>
    <w:rsid w:val="0D0C4CBB"/>
    <w:rsid w:val="0D104155"/>
    <w:rsid w:val="0D236B6F"/>
    <w:rsid w:val="0D280603"/>
    <w:rsid w:val="0D2C5E48"/>
    <w:rsid w:val="0D37127A"/>
    <w:rsid w:val="0D372CED"/>
    <w:rsid w:val="0D480021"/>
    <w:rsid w:val="0D510202"/>
    <w:rsid w:val="0D6C74CE"/>
    <w:rsid w:val="0D6D715C"/>
    <w:rsid w:val="0D774957"/>
    <w:rsid w:val="0D823EC3"/>
    <w:rsid w:val="0D85494D"/>
    <w:rsid w:val="0D8E0DAD"/>
    <w:rsid w:val="0D935EC0"/>
    <w:rsid w:val="0D965CD0"/>
    <w:rsid w:val="0D9D05CC"/>
    <w:rsid w:val="0DA03EF8"/>
    <w:rsid w:val="0DAB151D"/>
    <w:rsid w:val="0DAB4978"/>
    <w:rsid w:val="0DBC3812"/>
    <w:rsid w:val="0DC368E0"/>
    <w:rsid w:val="0DC7206D"/>
    <w:rsid w:val="0DCA208D"/>
    <w:rsid w:val="0DCA6B34"/>
    <w:rsid w:val="0DD30820"/>
    <w:rsid w:val="0DE17862"/>
    <w:rsid w:val="0DE87B47"/>
    <w:rsid w:val="0E2833A4"/>
    <w:rsid w:val="0E3D1921"/>
    <w:rsid w:val="0E403415"/>
    <w:rsid w:val="0E467D96"/>
    <w:rsid w:val="0E60214E"/>
    <w:rsid w:val="0E6B78FA"/>
    <w:rsid w:val="0E7468F9"/>
    <w:rsid w:val="0E775298"/>
    <w:rsid w:val="0E93583A"/>
    <w:rsid w:val="0EA46253"/>
    <w:rsid w:val="0EB01DE3"/>
    <w:rsid w:val="0EB917B7"/>
    <w:rsid w:val="0EB968D1"/>
    <w:rsid w:val="0EBB2F75"/>
    <w:rsid w:val="0EC11B46"/>
    <w:rsid w:val="0ED346FB"/>
    <w:rsid w:val="0ED40090"/>
    <w:rsid w:val="0ED666A9"/>
    <w:rsid w:val="0EE27D3F"/>
    <w:rsid w:val="0EEC753A"/>
    <w:rsid w:val="0EFB57F6"/>
    <w:rsid w:val="0F007852"/>
    <w:rsid w:val="0F010EB3"/>
    <w:rsid w:val="0F0222BA"/>
    <w:rsid w:val="0F0E0C90"/>
    <w:rsid w:val="0F0E64B1"/>
    <w:rsid w:val="0F111E7C"/>
    <w:rsid w:val="0F1900D8"/>
    <w:rsid w:val="0F331043"/>
    <w:rsid w:val="0F3773AB"/>
    <w:rsid w:val="0F5E61AF"/>
    <w:rsid w:val="0F6F14D6"/>
    <w:rsid w:val="0F8C4971"/>
    <w:rsid w:val="0F970E72"/>
    <w:rsid w:val="0FA76BEC"/>
    <w:rsid w:val="0FAB0462"/>
    <w:rsid w:val="0FAD22F5"/>
    <w:rsid w:val="0FB20AE8"/>
    <w:rsid w:val="0FC439D1"/>
    <w:rsid w:val="0FD33306"/>
    <w:rsid w:val="0FD72DBC"/>
    <w:rsid w:val="0FE278F0"/>
    <w:rsid w:val="0FE90BEB"/>
    <w:rsid w:val="0FEF0B86"/>
    <w:rsid w:val="0FFF5A3B"/>
    <w:rsid w:val="100B6F86"/>
    <w:rsid w:val="101E5CE7"/>
    <w:rsid w:val="1022440D"/>
    <w:rsid w:val="10300553"/>
    <w:rsid w:val="103134DA"/>
    <w:rsid w:val="1038064C"/>
    <w:rsid w:val="103D598D"/>
    <w:rsid w:val="10516417"/>
    <w:rsid w:val="10527694"/>
    <w:rsid w:val="10594528"/>
    <w:rsid w:val="105A66BC"/>
    <w:rsid w:val="105D479F"/>
    <w:rsid w:val="105E37D6"/>
    <w:rsid w:val="105E5546"/>
    <w:rsid w:val="105F23B2"/>
    <w:rsid w:val="10641D4A"/>
    <w:rsid w:val="106636E0"/>
    <w:rsid w:val="107D0792"/>
    <w:rsid w:val="10810651"/>
    <w:rsid w:val="108361CE"/>
    <w:rsid w:val="108C3B35"/>
    <w:rsid w:val="108F3B03"/>
    <w:rsid w:val="109B2495"/>
    <w:rsid w:val="109D7C3D"/>
    <w:rsid w:val="10A923A9"/>
    <w:rsid w:val="10AD649E"/>
    <w:rsid w:val="10AE4955"/>
    <w:rsid w:val="10B943D8"/>
    <w:rsid w:val="10BD00CD"/>
    <w:rsid w:val="10C32CDF"/>
    <w:rsid w:val="10C74ADC"/>
    <w:rsid w:val="10D66802"/>
    <w:rsid w:val="10E63A79"/>
    <w:rsid w:val="10FA21CB"/>
    <w:rsid w:val="10FD08C3"/>
    <w:rsid w:val="11092FC2"/>
    <w:rsid w:val="112062FB"/>
    <w:rsid w:val="1126742F"/>
    <w:rsid w:val="112C28C3"/>
    <w:rsid w:val="114121B6"/>
    <w:rsid w:val="11563A10"/>
    <w:rsid w:val="115744DF"/>
    <w:rsid w:val="117548CB"/>
    <w:rsid w:val="11884346"/>
    <w:rsid w:val="11930609"/>
    <w:rsid w:val="11A40E08"/>
    <w:rsid w:val="11A80474"/>
    <w:rsid w:val="11AE578D"/>
    <w:rsid w:val="11BF2620"/>
    <w:rsid w:val="11BF282F"/>
    <w:rsid w:val="11EE47C7"/>
    <w:rsid w:val="11FE6F51"/>
    <w:rsid w:val="120A3BFE"/>
    <w:rsid w:val="123F3A1A"/>
    <w:rsid w:val="124F08C2"/>
    <w:rsid w:val="1251334F"/>
    <w:rsid w:val="125C5CAA"/>
    <w:rsid w:val="125F62A7"/>
    <w:rsid w:val="127350EE"/>
    <w:rsid w:val="12915601"/>
    <w:rsid w:val="129F1229"/>
    <w:rsid w:val="12A2009A"/>
    <w:rsid w:val="12A3176D"/>
    <w:rsid w:val="12A9026A"/>
    <w:rsid w:val="12AE6FC3"/>
    <w:rsid w:val="12B52C45"/>
    <w:rsid w:val="12BD01C5"/>
    <w:rsid w:val="12CA3244"/>
    <w:rsid w:val="12DA73CC"/>
    <w:rsid w:val="13074182"/>
    <w:rsid w:val="13092AF9"/>
    <w:rsid w:val="13126D0E"/>
    <w:rsid w:val="131B37C6"/>
    <w:rsid w:val="131C6046"/>
    <w:rsid w:val="131F3B2F"/>
    <w:rsid w:val="13250A8C"/>
    <w:rsid w:val="132F551B"/>
    <w:rsid w:val="134A0406"/>
    <w:rsid w:val="134B4A76"/>
    <w:rsid w:val="135208F3"/>
    <w:rsid w:val="136055E1"/>
    <w:rsid w:val="13650123"/>
    <w:rsid w:val="136555EA"/>
    <w:rsid w:val="13675813"/>
    <w:rsid w:val="13846CBE"/>
    <w:rsid w:val="13934C1A"/>
    <w:rsid w:val="139B138D"/>
    <w:rsid w:val="13A00D4E"/>
    <w:rsid w:val="13AF6684"/>
    <w:rsid w:val="13B352A7"/>
    <w:rsid w:val="13B37C1F"/>
    <w:rsid w:val="13C86C40"/>
    <w:rsid w:val="13DD5D77"/>
    <w:rsid w:val="13E70AB8"/>
    <w:rsid w:val="13E714D7"/>
    <w:rsid w:val="13E82E79"/>
    <w:rsid w:val="13F007D2"/>
    <w:rsid w:val="14041BBA"/>
    <w:rsid w:val="140877DB"/>
    <w:rsid w:val="1409078E"/>
    <w:rsid w:val="14132166"/>
    <w:rsid w:val="14163A16"/>
    <w:rsid w:val="142A195D"/>
    <w:rsid w:val="143843B3"/>
    <w:rsid w:val="1438609D"/>
    <w:rsid w:val="14461136"/>
    <w:rsid w:val="144A3F6E"/>
    <w:rsid w:val="145052D3"/>
    <w:rsid w:val="14562BD8"/>
    <w:rsid w:val="145D5989"/>
    <w:rsid w:val="1460715B"/>
    <w:rsid w:val="147E5F85"/>
    <w:rsid w:val="14867701"/>
    <w:rsid w:val="148768DF"/>
    <w:rsid w:val="148A5DF4"/>
    <w:rsid w:val="14A80BEE"/>
    <w:rsid w:val="14AB39D3"/>
    <w:rsid w:val="14B0303B"/>
    <w:rsid w:val="14B24B15"/>
    <w:rsid w:val="14B33DFA"/>
    <w:rsid w:val="14E06C08"/>
    <w:rsid w:val="14E45B22"/>
    <w:rsid w:val="14E70ACC"/>
    <w:rsid w:val="14ED1BD5"/>
    <w:rsid w:val="14F46921"/>
    <w:rsid w:val="152555CF"/>
    <w:rsid w:val="15451999"/>
    <w:rsid w:val="155063C9"/>
    <w:rsid w:val="155474F8"/>
    <w:rsid w:val="15666BD7"/>
    <w:rsid w:val="157803B0"/>
    <w:rsid w:val="157B24EA"/>
    <w:rsid w:val="15961B32"/>
    <w:rsid w:val="15B23975"/>
    <w:rsid w:val="15C17838"/>
    <w:rsid w:val="15D3628B"/>
    <w:rsid w:val="15F5446A"/>
    <w:rsid w:val="16074A6C"/>
    <w:rsid w:val="160E6800"/>
    <w:rsid w:val="161456B7"/>
    <w:rsid w:val="162A71A0"/>
    <w:rsid w:val="16322ED2"/>
    <w:rsid w:val="16354B10"/>
    <w:rsid w:val="16435604"/>
    <w:rsid w:val="16456E75"/>
    <w:rsid w:val="164F3AC1"/>
    <w:rsid w:val="1655376F"/>
    <w:rsid w:val="16595303"/>
    <w:rsid w:val="166F5E69"/>
    <w:rsid w:val="16854523"/>
    <w:rsid w:val="1689227F"/>
    <w:rsid w:val="16901D72"/>
    <w:rsid w:val="16927E43"/>
    <w:rsid w:val="16943D38"/>
    <w:rsid w:val="1695589A"/>
    <w:rsid w:val="16970CCA"/>
    <w:rsid w:val="16A522CF"/>
    <w:rsid w:val="16A648EC"/>
    <w:rsid w:val="16AB31AA"/>
    <w:rsid w:val="16AE622C"/>
    <w:rsid w:val="16B63E61"/>
    <w:rsid w:val="16BC6BB7"/>
    <w:rsid w:val="16BC7D1E"/>
    <w:rsid w:val="16BD41F0"/>
    <w:rsid w:val="16DE3D1B"/>
    <w:rsid w:val="16EC1978"/>
    <w:rsid w:val="16FB60EC"/>
    <w:rsid w:val="17016943"/>
    <w:rsid w:val="170308B9"/>
    <w:rsid w:val="17163A7B"/>
    <w:rsid w:val="171C6FCD"/>
    <w:rsid w:val="171D375D"/>
    <w:rsid w:val="173C7259"/>
    <w:rsid w:val="174A475E"/>
    <w:rsid w:val="175A30FB"/>
    <w:rsid w:val="1763632D"/>
    <w:rsid w:val="176A29C9"/>
    <w:rsid w:val="177318BD"/>
    <w:rsid w:val="177E13D2"/>
    <w:rsid w:val="17997818"/>
    <w:rsid w:val="179E7294"/>
    <w:rsid w:val="17AF4BB7"/>
    <w:rsid w:val="17B97F59"/>
    <w:rsid w:val="17BD59F3"/>
    <w:rsid w:val="17BF700B"/>
    <w:rsid w:val="17C97974"/>
    <w:rsid w:val="17D12A04"/>
    <w:rsid w:val="17DA0315"/>
    <w:rsid w:val="17DE2A59"/>
    <w:rsid w:val="17FC348C"/>
    <w:rsid w:val="17FD0615"/>
    <w:rsid w:val="18016CF6"/>
    <w:rsid w:val="180A340D"/>
    <w:rsid w:val="180E0BC7"/>
    <w:rsid w:val="18107537"/>
    <w:rsid w:val="181E71B1"/>
    <w:rsid w:val="18206081"/>
    <w:rsid w:val="18351385"/>
    <w:rsid w:val="184159A3"/>
    <w:rsid w:val="184D0386"/>
    <w:rsid w:val="1854208D"/>
    <w:rsid w:val="18585A2D"/>
    <w:rsid w:val="18704884"/>
    <w:rsid w:val="187B5766"/>
    <w:rsid w:val="18857B42"/>
    <w:rsid w:val="188A3C85"/>
    <w:rsid w:val="188D38BC"/>
    <w:rsid w:val="188E7AC4"/>
    <w:rsid w:val="18913AEB"/>
    <w:rsid w:val="189339A6"/>
    <w:rsid w:val="189C1B5A"/>
    <w:rsid w:val="18A33AD9"/>
    <w:rsid w:val="18A8048D"/>
    <w:rsid w:val="18A90C0F"/>
    <w:rsid w:val="18BD7D11"/>
    <w:rsid w:val="18C37F76"/>
    <w:rsid w:val="18C64F24"/>
    <w:rsid w:val="18D943A0"/>
    <w:rsid w:val="18DF5403"/>
    <w:rsid w:val="18E33C99"/>
    <w:rsid w:val="18E41FD3"/>
    <w:rsid w:val="18E55642"/>
    <w:rsid w:val="18F16010"/>
    <w:rsid w:val="18F70122"/>
    <w:rsid w:val="18FA6D7B"/>
    <w:rsid w:val="19007EDF"/>
    <w:rsid w:val="19092480"/>
    <w:rsid w:val="1912703E"/>
    <w:rsid w:val="191454B1"/>
    <w:rsid w:val="19147361"/>
    <w:rsid w:val="19161F87"/>
    <w:rsid w:val="191860F4"/>
    <w:rsid w:val="191A68AE"/>
    <w:rsid w:val="19213A23"/>
    <w:rsid w:val="193450CC"/>
    <w:rsid w:val="193A003A"/>
    <w:rsid w:val="194B1737"/>
    <w:rsid w:val="195202BC"/>
    <w:rsid w:val="1989319A"/>
    <w:rsid w:val="199D74FC"/>
    <w:rsid w:val="19A36338"/>
    <w:rsid w:val="19A83024"/>
    <w:rsid w:val="19A953FA"/>
    <w:rsid w:val="19AF3812"/>
    <w:rsid w:val="19AF74AC"/>
    <w:rsid w:val="19C448E7"/>
    <w:rsid w:val="19DB335E"/>
    <w:rsid w:val="19DE181E"/>
    <w:rsid w:val="19E967E8"/>
    <w:rsid w:val="19F1718A"/>
    <w:rsid w:val="19FD0BA4"/>
    <w:rsid w:val="1A0A6B17"/>
    <w:rsid w:val="1A256746"/>
    <w:rsid w:val="1A3506F7"/>
    <w:rsid w:val="1A353BD8"/>
    <w:rsid w:val="1A3A7833"/>
    <w:rsid w:val="1A3F2154"/>
    <w:rsid w:val="1A55046A"/>
    <w:rsid w:val="1A605A88"/>
    <w:rsid w:val="1A6F0FCD"/>
    <w:rsid w:val="1A890C3F"/>
    <w:rsid w:val="1A8A66F0"/>
    <w:rsid w:val="1A9B75F0"/>
    <w:rsid w:val="1A9F6918"/>
    <w:rsid w:val="1AC148AF"/>
    <w:rsid w:val="1AEA0383"/>
    <w:rsid w:val="1B0377D8"/>
    <w:rsid w:val="1B0E1FE6"/>
    <w:rsid w:val="1B0F3C94"/>
    <w:rsid w:val="1B2B79BB"/>
    <w:rsid w:val="1B3474C7"/>
    <w:rsid w:val="1B3B350B"/>
    <w:rsid w:val="1B603C7E"/>
    <w:rsid w:val="1B70071B"/>
    <w:rsid w:val="1B7F4FA4"/>
    <w:rsid w:val="1BBC3B1E"/>
    <w:rsid w:val="1BE41960"/>
    <w:rsid w:val="1BF12CEE"/>
    <w:rsid w:val="1C014778"/>
    <w:rsid w:val="1C046B7B"/>
    <w:rsid w:val="1C123C4E"/>
    <w:rsid w:val="1C184AE2"/>
    <w:rsid w:val="1C51578F"/>
    <w:rsid w:val="1C644670"/>
    <w:rsid w:val="1C7379EE"/>
    <w:rsid w:val="1C745CA3"/>
    <w:rsid w:val="1C7F5A8E"/>
    <w:rsid w:val="1C8A3D90"/>
    <w:rsid w:val="1C974944"/>
    <w:rsid w:val="1CA27C2F"/>
    <w:rsid w:val="1CA923A7"/>
    <w:rsid w:val="1CB62B63"/>
    <w:rsid w:val="1CD3374E"/>
    <w:rsid w:val="1CE73FAF"/>
    <w:rsid w:val="1CF97FE7"/>
    <w:rsid w:val="1D033BD3"/>
    <w:rsid w:val="1D0A2A43"/>
    <w:rsid w:val="1D140E04"/>
    <w:rsid w:val="1D225E7A"/>
    <w:rsid w:val="1D241C26"/>
    <w:rsid w:val="1D28042B"/>
    <w:rsid w:val="1D2C5846"/>
    <w:rsid w:val="1D37064A"/>
    <w:rsid w:val="1D4519CC"/>
    <w:rsid w:val="1D5756E8"/>
    <w:rsid w:val="1D606336"/>
    <w:rsid w:val="1D764A44"/>
    <w:rsid w:val="1D825208"/>
    <w:rsid w:val="1D867F45"/>
    <w:rsid w:val="1DA35632"/>
    <w:rsid w:val="1DAC4D54"/>
    <w:rsid w:val="1DBA4023"/>
    <w:rsid w:val="1DBB4D34"/>
    <w:rsid w:val="1DC52BCC"/>
    <w:rsid w:val="1DCD6F7A"/>
    <w:rsid w:val="1DDE6BCE"/>
    <w:rsid w:val="1DF616FF"/>
    <w:rsid w:val="1DF84CE9"/>
    <w:rsid w:val="1DFC50E1"/>
    <w:rsid w:val="1E025FC5"/>
    <w:rsid w:val="1E0C486A"/>
    <w:rsid w:val="1E0C7241"/>
    <w:rsid w:val="1E2A1553"/>
    <w:rsid w:val="1E2F4405"/>
    <w:rsid w:val="1E3625C1"/>
    <w:rsid w:val="1E364074"/>
    <w:rsid w:val="1E375DA9"/>
    <w:rsid w:val="1E3B4F5A"/>
    <w:rsid w:val="1E3E2C0D"/>
    <w:rsid w:val="1E47033A"/>
    <w:rsid w:val="1E4E244B"/>
    <w:rsid w:val="1E4F0440"/>
    <w:rsid w:val="1E530BDB"/>
    <w:rsid w:val="1E531D89"/>
    <w:rsid w:val="1E537460"/>
    <w:rsid w:val="1E5864DA"/>
    <w:rsid w:val="1E614E50"/>
    <w:rsid w:val="1E6A685B"/>
    <w:rsid w:val="1E6F70C7"/>
    <w:rsid w:val="1E7C2C14"/>
    <w:rsid w:val="1E8227EE"/>
    <w:rsid w:val="1E86183F"/>
    <w:rsid w:val="1E895479"/>
    <w:rsid w:val="1E967169"/>
    <w:rsid w:val="1EA35218"/>
    <w:rsid w:val="1EA51540"/>
    <w:rsid w:val="1EA860AA"/>
    <w:rsid w:val="1ED147D4"/>
    <w:rsid w:val="1ED43573"/>
    <w:rsid w:val="1ED72D44"/>
    <w:rsid w:val="1ED94D5E"/>
    <w:rsid w:val="1EE06D16"/>
    <w:rsid w:val="1EED43BF"/>
    <w:rsid w:val="1EF06941"/>
    <w:rsid w:val="1EFB6C3F"/>
    <w:rsid w:val="1F012392"/>
    <w:rsid w:val="1F065383"/>
    <w:rsid w:val="1F0B457B"/>
    <w:rsid w:val="1F0E17B3"/>
    <w:rsid w:val="1F204CF2"/>
    <w:rsid w:val="1F30654E"/>
    <w:rsid w:val="1F391764"/>
    <w:rsid w:val="1F3C4795"/>
    <w:rsid w:val="1F471F63"/>
    <w:rsid w:val="1F4E7FAB"/>
    <w:rsid w:val="1F514043"/>
    <w:rsid w:val="1F604CA7"/>
    <w:rsid w:val="1F754514"/>
    <w:rsid w:val="1F801456"/>
    <w:rsid w:val="1FA03CB4"/>
    <w:rsid w:val="1FB7289A"/>
    <w:rsid w:val="1FC03FC1"/>
    <w:rsid w:val="1FC3430F"/>
    <w:rsid w:val="1FE41295"/>
    <w:rsid w:val="1FF6625C"/>
    <w:rsid w:val="200665E3"/>
    <w:rsid w:val="20093583"/>
    <w:rsid w:val="201671E0"/>
    <w:rsid w:val="201C18FE"/>
    <w:rsid w:val="201D2562"/>
    <w:rsid w:val="201F0359"/>
    <w:rsid w:val="202D21CB"/>
    <w:rsid w:val="202F735B"/>
    <w:rsid w:val="203A4DEF"/>
    <w:rsid w:val="203E465A"/>
    <w:rsid w:val="20406AD6"/>
    <w:rsid w:val="20411648"/>
    <w:rsid w:val="2046161E"/>
    <w:rsid w:val="204F6EED"/>
    <w:rsid w:val="2059786B"/>
    <w:rsid w:val="206F3C3D"/>
    <w:rsid w:val="207222AF"/>
    <w:rsid w:val="207317D8"/>
    <w:rsid w:val="2089390C"/>
    <w:rsid w:val="209854F7"/>
    <w:rsid w:val="20B21293"/>
    <w:rsid w:val="20B916FE"/>
    <w:rsid w:val="20BB437B"/>
    <w:rsid w:val="20BC20A9"/>
    <w:rsid w:val="20BD2D02"/>
    <w:rsid w:val="20C052C8"/>
    <w:rsid w:val="20C10BC0"/>
    <w:rsid w:val="20C13853"/>
    <w:rsid w:val="20C3767B"/>
    <w:rsid w:val="20C6176E"/>
    <w:rsid w:val="20CE42AD"/>
    <w:rsid w:val="20D55C05"/>
    <w:rsid w:val="20E40A1A"/>
    <w:rsid w:val="20E73BEC"/>
    <w:rsid w:val="20EF124C"/>
    <w:rsid w:val="20F75069"/>
    <w:rsid w:val="20FC2262"/>
    <w:rsid w:val="211D54C9"/>
    <w:rsid w:val="212517EA"/>
    <w:rsid w:val="213321F0"/>
    <w:rsid w:val="214E6594"/>
    <w:rsid w:val="21500144"/>
    <w:rsid w:val="21530F49"/>
    <w:rsid w:val="21574FA6"/>
    <w:rsid w:val="21630FDD"/>
    <w:rsid w:val="2174384C"/>
    <w:rsid w:val="21752C4F"/>
    <w:rsid w:val="217538E0"/>
    <w:rsid w:val="21A72FE4"/>
    <w:rsid w:val="21A84C3F"/>
    <w:rsid w:val="21D3576D"/>
    <w:rsid w:val="21D67780"/>
    <w:rsid w:val="21DA2ED2"/>
    <w:rsid w:val="21E24516"/>
    <w:rsid w:val="21FE3393"/>
    <w:rsid w:val="220C0607"/>
    <w:rsid w:val="221859ED"/>
    <w:rsid w:val="221F5DB9"/>
    <w:rsid w:val="2229147C"/>
    <w:rsid w:val="223059F2"/>
    <w:rsid w:val="22410FB9"/>
    <w:rsid w:val="224953A8"/>
    <w:rsid w:val="224B41E9"/>
    <w:rsid w:val="22506CD8"/>
    <w:rsid w:val="22522954"/>
    <w:rsid w:val="225255C7"/>
    <w:rsid w:val="22560CE2"/>
    <w:rsid w:val="2267774F"/>
    <w:rsid w:val="22682FB6"/>
    <w:rsid w:val="22830CFD"/>
    <w:rsid w:val="22933AE6"/>
    <w:rsid w:val="229F6092"/>
    <w:rsid w:val="22B924EB"/>
    <w:rsid w:val="22D32A51"/>
    <w:rsid w:val="22D64F96"/>
    <w:rsid w:val="22DC5835"/>
    <w:rsid w:val="22E74746"/>
    <w:rsid w:val="22F76DBF"/>
    <w:rsid w:val="22FE7D8C"/>
    <w:rsid w:val="22FF6D8B"/>
    <w:rsid w:val="230005A4"/>
    <w:rsid w:val="230709DF"/>
    <w:rsid w:val="2325722D"/>
    <w:rsid w:val="232912D5"/>
    <w:rsid w:val="23514331"/>
    <w:rsid w:val="23595C59"/>
    <w:rsid w:val="23600132"/>
    <w:rsid w:val="2369597C"/>
    <w:rsid w:val="23707FF1"/>
    <w:rsid w:val="237B07B4"/>
    <w:rsid w:val="237F5558"/>
    <w:rsid w:val="23841E9D"/>
    <w:rsid w:val="2387054A"/>
    <w:rsid w:val="238D75AC"/>
    <w:rsid w:val="23921B1D"/>
    <w:rsid w:val="239316E2"/>
    <w:rsid w:val="239E3730"/>
    <w:rsid w:val="23B3415B"/>
    <w:rsid w:val="23C60E23"/>
    <w:rsid w:val="23C73602"/>
    <w:rsid w:val="23CD3371"/>
    <w:rsid w:val="23DA6927"/>
    <w:rsid w:val="23DD6330"/>
    <w:rsid w:val="23E806FD"/>
    <w:rsid w:val="24082D18"/>
    <w:rsid w:val="24265218"/>
    <w:rsid w:val="242F17F7"/>
    <w:rsid w:val="24377315"/>
    <w:rsid w:val="24550B5B"/>
    <w:rsid w:val="2465154E"/>
    <w:rsid w:val="24730DFA"/>
    <w:rsid w:val="247A7B99"/>
    <w:rsid w:val="247D67DF"/>
    <w:rsid w:val="249410E3"/>
    <w:rsid w:val="249A01F6"/>
    <w:rsid w:val="24A03C11"/>
    <w:rsid w:val="24A86022"/>
    <w:rsid w:val="24CF2854"/>
    <w:rsid w:val="24E22C2B"/>
    <w:rsid w:val="24F10E76"/>
    <w:rsid w:val="24F85D8A"/>
    <w:rsid w:val="25000540"/>
    <w:rsid w:val="25007195"/>
    <w:rsid w:val="251B3712"/>
    <w:rsid w:val="251C4805"/>
    <w:rsid w:val="251E2224"/>
    <w:rsid w:val="254F7BEB"/>
    <w:rsid w:val="256D6A1D"/>
    <w:rsid w:val="25835A93"/>
    <w:rsid w:val="25AF5D47"/>
    <w:rsid w:val="25B453E6"/>
    <w:rsid w:val="25BA40D0"/>
    <w:rsid w:val="25BC22A3"/>
    <w:rsid w:val="25C06B58"/>
    <w:rsid w:val="25C208F2"/>
    <w:rsid w:val="25D00086"/>
    <w:rsid w:val="25F76A7B"/>
    <w:rsid w:val="25F85722"/>
    <w:rsid w:val="25FF52B3"/>
    <w:rsid w:val="26020877"/>
    <w:rsid w:val="26062E7D"/>
    <w:rsid w:val="260C1E8C"/>
    <w:rsid w:val="261846D0"/>
    <w:rsid w:val="26222714"/>
    <w:rsid w:val="26260A19"/>
    <w:rsid w:val="262F155E"/>
    <w:rsid w:val="263836C0"/>
    <w:rsid w:val="264131C9"/>
    <w:rsid w:val="26581F98"/>
    <w:rsid w:val="265D0BFD"/>
    <w:rsid w:val="266F6FA4"/>
    <w:rsid w:val="267948E4"/>
    <w:rsid w:val="268A121A"/>
    <w:rsid w:val="269A17E8"/>
    <w:rsid w:val="269B4A52"/>
    <w:rsid w:val="26AB7703"/>
    <w:rsid w:val="26AE79A5"/>
    <w:rsid w:val="26BA2373"/>
    <w:rsid w:val="26BB6F50"/>
    <w:rsid w:val="26C67ADC"/>
    <w:rsid w:val="26CB46B2"/>
    <w:rsid w:val="26D03514"/>
    <w:rsid w:val="26E21D14"/>
    <w:rsid w:val="26E277C1"/>
    <w:rsid w:val="26E31B9C"/>
    <w:rsid w:val="26E34551"/>
    <w:rsid w:val="26EA7D02"/>
    <w:rsid w:val="26EC4367"/>
    <w:rsid w:val="26F425AD"/>
    <w:rsid w:val="26F55F88"/>
    <w:rsid w:val="26FA1F30"/>
    <w:rsid w:val="270133EA"/>
    <w:rsid w:val="270A75F5"/>
    <w:rsid w:val="270D58CA"/>
    <w:rsid w:val="270D7B9D"/>
    <w:rsid w:val="2713123C"/>
    <w:rsid w:val="273D76B8"/>
    <w:rsid w:val="27445091"/>
    <w:rsid w:val="27446739"/>
    <w:rsid w:val="274F0226"/>
    <w:rsid w:val="27572C0E"/>
    <w:rsid w:val="276210D1"/>
    <w:rsid w:val="27677584"/>
    <w:rsid w:val="276A5CF9"/>
    <w:rsid w:val="276C45DE"/>
    <w:rsid w:val="277E59C5"/>
    <w:rsid w:val="27927C1C"/>
    <w:rsid w:val="279860A4"/>
    <w:rsid w:val="27994225"/>
    <w:rsid w:val="279D3022"/>
    <w:rsid w:val="27A27DC6"/>
    <w:rsid w:val="27B376D9"/>
    <w:rsid w:val="27B555D6"/>
    <w:rsid w:val="27CA5333"/>
    <w:rsid w:val="27CE6E76"/>
    <w:rsid w:val="27D4216D"/>
    <w:rsid w:val="27D85EF2"/>
    <w:rsid w:val="27E77A08"/>
    <w:rsid w:val="27EE0B45"/>
    <w:rsid w:val="27F67B21"/>
    <w:rsid w:val="27FA575D"/>
    <w:rsid w:val="27FE6C32"/>
    <w:rsid w:val="2801573F"/>
    <w:rsid w:val="282F0783"/>
    <w:rsid w:val="28464C6F"/>
    <w:rsid w:val="284B33E5"/>
    <w:rsid w:val="285C637E"/>
    <w:rsid w:val="287176F5"/>
    <w:rsid w:val="287D138E"/>
    <w:rsid w:val="288357CB"/>
    <w:rsid w:val="288378A4"/>
    <w:rsid w:val="288C6386"/>
    <w:rsid w:val="28907B79"/>
    <w:rsid w:val="28A60E8D"/>
    <w:rsid w:val="28AF3788"/>
    <w:rsid w:val="28B2595B"/>
    <w:rsid w:val="28B30358"/>
    <w:rsid w:val="28DD5ECB"/>
    <w:rsid w:val="28E50444"/>
    <w:rsid w:val="28F70C9E"/>
    <w:rsid w:val="29156437"/>
    <w:rsid w:val="29190067"/>
    <w:rsid w:val="29490A80"/>
    <w:rsid w:val="295D1674"/>
    <w:rsid w:val="2961765E"/>
    <w:rsid w:val="296562E9"/>
    <w:rsid w:val="29755813"/>
    <w:rsid w:val="298A6EFA"/>
    <w:rsid w:val="29A471CA"/>
    <w:rsid w:val="29AF4312"/>
    <w:rsid w:val="29B5601E"/>
    <w:rsid w:val="29C5364C"/>
    <w:rsid w:val="29D32F58"/>
    <w:rsid w:val="29E52653"/>
    <w:rsid w:val="29E729C4"/>
    <w:rsid w:val="29FD749D"/>
    <w:rsid w:val="2A070725"/>
    <w:rsid w:val="2A0909AC"/>
    <w:rsid w:val="2A135886"/>
    <w:rsid w:val="2A1E0483"/>
    <w:rsid w:val="2A1F1C67"/>
    <w:rsid w:val="2A226162"/>
    <w:rsid w:val="2A276476"/>
    <w:rsid w:val="2A2D7443"/>
    <w:rsid w:val="2A2E6778"/>
    <w:rsid w:val="2A367D1E"/>
    <w:rsid w:val="2A43210B"/>
    <w:rsid w:val="2A4371E1"/>
    <w:rsid w:val="2A496230"/>
    <w:rsid w:val="2A4D7C60"/>
    <w:rsid w:val="2A583ACC"/>
    <w:rsid w:val="2A5B7229"/>
    <w:rsid w:val="2A624E66"/>
    <w:rsid w:val="2A7C05B6"/>
    <w:rsid w:val="2A8059E5"/>
    <w:rsid w:val="2A8B75BD"/>
    <w:rsid w:val="2A9526CD"/>
    <w:rsid w:val="2A977646"/>
    <w:rsid w:val="2AA15C89"/>
    <w:rsid w:val="2AB35519"/>
    <w:rsid w:val="2ABB4510"/>
    <w:rsid w:val="2AC1400D"/>
    <w:rsid w:val="2ADE288C"/>
    <w:rsid w:val="2AE975CA"/>
    <w:rsid w:val="2AEC0A41"/>
    <w:rsid w:val="2AF02286"/>
    <w:rsid w:val="2AFC38FF"/>
    <w:rsid w:val="2B0C0FE1"/>
    <w:rsid w:val="2B0E24D1"/>
    <w:rsid w:val="2B1443DB"/>
    <w:rsid w:val="2B3E4289"/>
    <w:rsid w:val="2B406FCA"/>
    <w:rsid w:val="2B522619"/>
    <w:rsid w:val="2B576A33"/>
    <w:rsid w:val="2B5865C3"/>
    <w:rsid w:val="2B6C342C"/>
    <w:rsid w:val="2B994ECF"/>
    <w:rsid w:val="2B995650"/>
    <w:rsid w:val="2BB81245"/>
    <w:rsid w:val="2BC01A0C"/>
    <w:rsid w:val="2BD35ABE"/>
    <w:rsid w:val="2BD70AF6"/>
    <w:rsid w:val="2BE86DE8"/>
    <w:rsid w:val="2BFA53B9"/>
    <w:rsid w:val="2BFF2F9D"/>
    <w:rsid w:val="2C0E076B"/>
    <w:rsid w:val="2C1652CC"/>
    <w:rsid w:val="2C18233E"/>
    <w:rsid w:val="2C241EB1"/>
    <w:rsid w:val="2C247776"/>
    <w:rsid w:val="2C346194"/>
    <w:rsid w:val="2C422445"/>
    <w:rsid w:val="2C46724F"/>
    <w:rsid w:val="2C4B5025"/>
    <w:rsid w:val="2C5140CC"/>
    <w:rsid w:val="2C794C6C"/>
    <w:rsid w:val="2C833B91"/>
    <w:rsid w:val="2C8423BB"/>
    <w:rsid w:val="2C880771"/>
    <w:rsid w:val="2C91603A"/>
    <w:rsid w:val="2CA57733"/>
    <w:rsid w:val="2CAA65D5"/>
    <w:rsid w:val="2CBC4CA5"/>
    <w:rsid w:val="2CC25CF7"/>
    <w:rsid w:val="2CC80875"/>
    <w:rsid w:val="2CD5079A"/>
    <w:rsid w:val="2CDF537D"/>
    <w:rsid w:val="2CE53B06"/>
    <w:rsid w:val="2CEC3E24"/>
    <w:rsid w:val="2D0104EA"/>
    <w:rsid w:val="2D076EDA"/>
    <w:rsid w:val="2D0D5E7D"/>
    <w:rsid w:val="2D297F93"/>
    <w:rsid w:val="2D2B218D"/>
    <w:rsid w:val="2D3273A8"/>
    <w:rsid w:val="2D3D0F9A"/>
    <w:rsid w:val="2D505D72"/>
    <w:rsid w:val="2D5B3C3D"/>
    <w:rsid w:val="2D6367B5"/>
    <w:rsid w:val="2D817ECF"/>
    <w:rsid w:val="2DB63BD7"/>
    <w:rsid w:val="2DC26316"/>
    <w:rsid w:val="2DC73414"/>
    <w:rsid w:val="2DC84687"/>
    <w:rsid w:val="2DCD5688"/>
    <w:rsid w:val="2DD47DCE"/>
    <w:rsid w:val="2DD663D9"/>
    <w:rsid w:val="2DEC5C73"/>
    <w:rsid w:val="2DFE2A1F"/>
    <w:rsid w:val="2E0E3186"/>
    <w:rsid w:val="2E1736D3"/>
    <w:rsid w:val="2E3151A3"/>
    <w:rsid w:val="2E331A09"/>
    <w:rsid w:val="2E3D7BBC"/>
    <w:rsid w:val="2E400F24"/>
    <w:rsid w:val="2E433439"/>
    <w:rsid w:val="2E451152"/>
    <w:rsid w:val="2E4711B3"/>
    <w:rsid w:val="2E525A25"/>
    <w:rsid w:val="2E5C277C"/>
    <w:rsid w:val="2E613D0C"/>
    <w:rsid w:val="2E660F67"/>
    <w:rsid w:val="2E663703"/>
    <w:rsid w:val="2E7D440A"/>
    <w:rsid w:val="2E882220"/>
    <w:rsid w:val="2E8C21E4"/>
    <w:rsid w:val="2E9C78FF"/>
    <w:rsid w:val="2EA37096"/>
    <w:rsid w:val="2EAD65C1"/>
    <w:rsid w:val="2EBA130F"/>
    <w:rsid w:val="2EC66E0C"/>
    <w:rsid w:val="2ECA68D6"/>
    <w:rsid w:val="2EE33100"/>
    <w:rsid w:val="2EE61626"/>
    <w:rsid w:val="2EE74355"/>
    <w:rsid w:val="2EE81169"/>
    <w:rsid w:val="2EE96F61"/>
    <w:rsid w:val="2EF84CB5"/>
    <w:rsid w:val="2F1E6139"/>
    <w:rsid w:val="2F2E711A"/>
    <w:rsid w:val="2F2F0696"/>
    <w:rsid w:val="2F344764"/>
    <w:rsid w:val="2F4628B3"/>
    <w:rsid w:val="2F4C3DF4"/>
    <w:rsid w:val="2F4D7680"/>
    <w:rsid w:val="2F5F4909"/>
    <w:rsid w:val="2F630DB9"/>
    <w:rsid w:val="2F677E6B"/>
    <w:rsid w:val="2F6C17CC"/>
    <w:rsid w:val="2F72791D"/>
    <w:rsid w:val="2F744C10"/>
    <w:rsid w:val="2F7D4783"/>
    <w:rsid w:val="2F7E0427"/>
    <w:rsid w:val="2F8C3FB8"/>
    <w:rsid w:val="2F8F6510"/>
    <w:rsid w:val="2F98435A"/>
    <w:rsid w:val="2FD278F5"/>
    <w:rsid w:val="2FE34462"/>
    <w:rsid w:val="2FEE736F"/>
    <w:rsid w:val="2FF51563"/>
    <w:rsid w:val="301238E4"/>
    <w:rsid w:val="301661BE"/>
    <w:rsid w:val="301A1F5B"/>
    <w:rsid w:val="301C1804"/>
    <w:rsid w:val="30257E46"/>
    <w:rsid w:val="302D3343"/>
    <w:rsid w:val="302E3628"/>
    <w:rsid w:val="302F6CB0"/>
    <w:rsid w:val="30584038"/>
    <w:rsid w:val="30652977"/>
    <w:rsid w:val="306A2C54"/>
    <w:rsid w:val="306A5A90"/>
    <w:rsid w:val="307D46D3"/>
    <w:rsid w:val="3086013A"/>
    <w:rsid w:val="308B2E9E"/>
    <w:rsid w:val="30B549EE"/>
    <w:rsid w:val="30BF67A1"/>
    <w:rsid w:val="30CC32F6"/>
    <w:rsid w:val="30E16F86"/>
    <w:rsid w:val="30F3614F"/>
    <w:rsid w:val="31077706"/>
    <w:rsid w:val="31215A39"/>
    <w:rsid w:val="31244B24"/>
    <w:rsid w:val="312947FC"/>
    <w:rsid w:val="31473D32"/>
    <w:rsid w:val="31481E9A"/>
    <w:rsid w:val="314C43F5"/>
    <w:rsid w:val="314C58E4"/>
    <w:rsid w:val="31566A8C"/>
    <w:rsid w:val="31712109"/>
    <w:rsid w:val="31791893"/>
    <w:rsid w:val="31AD0C45"/>
    <w:rsid w:val="31AE57E0"/>
    <w:rsid w:val="31AF4D74"/>
    <w:rsid w:val="31B438D0"/>
    <w:rsid w:val="31B443F0"/>
    <w:rsid w:val="31B74A3B"/>
    <w:rsid w:val="31BC27DC"/>
    <w:rsid w:val="31CE578B"/>
    <w:rsid w:val="31DE2C3F"/>
    <w:rsid w:val="31E5592F"/>
    <w:rsid w:val="31E70596"/>
    <w:rsid w:val="31E73075"/>
    <w:rsid w:val="31EF4496"/>
    <w:rsid w:val="31F119B7"/>
    <w:rsid w:val="31F70AD0"/>
    <w:rsid w:val="32111A0F"/>
    <w:rsid w:val="321741D8"/>
    <w:rsid w:val="322235D0"/>
    <w:rsid w:val="323A4AAD"/>
    <w:rsid w:val="323C666D"/>
    <w:rsid w:val="3241227D"/>
    <w:rsid w:val="324649EA"/>
    <w:rsid w:val="3247064C"/>
    <w:rsid w:val="325B72C4"/>
    <w:rsid w:val="32631955"/>
    <w:rsid w:val="32675D5E"/>
    <w:rsid w:val="32760D79"/>
    <w:rsid w:val="32761662"/>
    <w:rsid w:val="328338F6"/>
    <w:rsid w:val="328A2035"/>
    <w:rsid w:val="328C6B8F"/>
    <w:rsid w:val="32953590"/>
    <w:rsid w:val="329B2856"/>
    <w:rsid w:val="32A625D5"/>
    <w:rsid w:val="32A66F9A"/>
    <w:rsid w:val="32BA2BD1"/>
    <w:rsid w:val="32C05E23"/>
    <w:rsid w:val="32E366A4"/>
    <w:rsid w:val="32EE5098"/>
    <w:rsid w:val="330835DD"/>
    <w:rsid w:val="330F7267"/>
    <w:rsid w:val="331B64AE"/>
    <w:rsid w:val="331C1CFF"/>
    <w:rsid w:val="33316458"/>
    <w:rsid w:val="33394594"/>
    <w:rsid w:val="333B77EE"/>
    <w:rsid w:val="334B0A24"/>
    <w:rsid w:val="334D5A74"/>
    <w:rsid w:val="335C43AF"/>
    <w:rsid w:val="337035C7"/>
    <w:rsid w:val="339D6C39"/>
    <w:rsid w:val="33A06BD3"/>
    <w:rsid w:val="33A07622"/>
    <w:rsid w:val="33A353E4"/>
    <w:rsid w:val="33A76F7E"/>
    <w:rsid w:val="33DB33C0"/>
    <w:rsid w:val="340B3F1D"/>
    <w:rsid w:val="3423427E"/>
    <w:rsid w:val="34244893"/>
    <w:rsid w:val="342B4E82"/>
    <w:rsid w:val="344255FA"/>
    <w:rsid w:val="34434689"/>
    <w:rsid w:val="34440908"/>
    <w:rsid w:val="344A08D4"/>
    <w:rsid w:val="3465473A"/>
    <w:rsid w:val="34663D96"/>
    <w:rsid w:val="346A05B5"/>
    <w:rsid w:val="347B6C27"/>
    <w:rsid w:val="3491338C"/>
    <w:rsid w:val="34920D25"/>
    <w:rsid w:val="34A26C7D"/>
    <w:rsid w:val="34A62723"/>
    <w:rsid w:val="34BF07C3"/>
    <w:rsid w:val="34D45E3A"/>
    <w:rsid w:val="34DF0507"/>
    <w:rsid w:val="34F34B87"/>
    <w:rsid w:val="34FA053C"/>
    <w:rsid w:val="34FD5A5B"/>
    <w:rsid w:val="351D63F9"/>
    <w:rsid w:val="353D0AA1"/>
    <w:rsid w:val="35436439"/>
    <w:rsid w:val="35466A7C"/>
    <w:rsid w:val="354E5556"/>
    <w:rsid w:val="35522A67"/>
    <w:rsid w:val="355245D5"/>
    <w:rsid w:val="355701B3"/>
    <w:rsid w:val="358C20DB"/>
    <w:rsid w:val="35901F39"/>
    <w:rsid w:val="359728A7"/>
    <w:rsid w:val="35AE019B"/>
    <w:rsid w:val="35BD68FD"/>
    <w:rsid w:val="35C166F6"/>
    <w:rsid w:val="35D775D3"/>
    <w:rsid w:val="35DB3FD1"/>
    <w:rsid w:val="35EF1EEB"/>
    <w:rsid w:val="35F70E47"/>
    <w:rsid w:val="35FB41A8"/>
    <w:rsid w:val="35FB7C65"/>
    <w:rsid w:val="36006022"/>
    <w:rsid w:val="361F6174"/>
    <w:rsid w:val="362E5EC3"/>
    <w:rsid w:val="363051BE"/>
    <w:rsid w:val="3636782F"/>
    <w:rsid w:val="363F2B99"/>
    <w:rsid w:val="364D4619"/>
    <w:rsid w:val="36593A60"/>
    <w:rsid w:val="366C4FE4"/>
    <w:rsid w:val="368002C1"/>
    <w:rsid w:val="36853E7A"/>
    <w:rsid w:val="368D33D9"/>
    <w:rsid w:val="369B15B1"/>
    <w:rsid w:val="369B5330"/>
    <w:rsid w:val="36A02C02"/>
    <w:rsid w:val="36A0412A"/>
    <w:rsid w:val="36B22125"/>
    <w:rsid w:val="36C81EFA"/>
    <w:rsid w:val="36CB7E3E"/>
    <w:rsid w:val="36CD0CFB"/>
    <w:rsid w:val="36E16A06"/>
    <w:rsid w:val="36F138C2"/>
    <w:rsid w:val="36FF3A92"/>
    <w:rsid w:val="370331EB"/>
    <w:rsid w:val="370774A7"/>
    <w:rsid w:val="37083DB6"/>
    <w:rsid w:val="370A1B5E"/>
    <w:rsid w:val="371C5BC1"/>
    <w:rsid w:val="372605F3"/>
    <w:rsid w:val="372A0384"/>
    <w:rsid w:val="374841DF"/>
    <w:rsid w:val="374A0D2C"/>
    <w:rsid w:val="374B06A3"/>
    <w:rsid w:val="375D0339"/>
    <w:rsid w:val="376B224D"/>
    <w:rsid w:val="376F2C4A"/>
    <w:rsid w:val="37777D1A"/>
    <w:rsid w:val="377D1ACE"/>
    <w:rsid w:val="379042D7"/>
    <w:rsid w:val="379150C1"/>
    <w:rsid w:val="379E01D7"/>
    <w:rsid w:val="37A714B4"/>
    <w:rsid w:val="37AC775F"/>
    <w:rsid w:val="37D75E89"/>
    <w:rsid w:val="37DF4721"/>
    <w:rsid w:val="37FA6CDA"/>
    <w:rsid w:val="37FE5547"/>
    <w:rsid w:val="380673E6"/>
    <w:rsid w:val="380C3DCE"/>
    <w:rsid w:val="380F50BC"/>
    <w:rsid w:val="381E5F97"/>
    <w:rsid w:val="381F6F05"/>
    <w:rsid w:val="38214D0F"/>
    <w:rsid w:val="38362174"/>
    <w:rsid w:val="3844339E"/>
    <w:rsid w:val="3846208E"/>
    <w:rsid w:val="386348D4"/>
    <w:rsid w:val="386D1C82"/>
    <w:rsid w:val="387E181C"/>
    <w:rsid w:val="387F3B7E"/>
    <w:rsid w:val="38887AE7"/>
    <w:rsid w:val="38977D13"/>
    <w:rsid w:val="389A7136"/>
    <w:rsid w:val="38A53EF7"/>
    <w:rsid w:val="38AD148A"/>
    <w:rsid w:val="38B079FA"/>
    <w:rsid w:val="38EE177E"/>
    <w:rsid w:val="38F553E8"/>
    <w:rsid w:val="390D6156"/>
    <w:rsid w:val="392439A3"/>
    <w:rsid w:val="393D0F54"/>
    <w:rsid w:val="39433F89"/>
    <w:rsid w:val="39521C95"/>
    <w:rsid w:val="397F2532"/>
    <w:rsid w:val="39936AAA"/>
    <w:rsid w:val="399862A6"/>
    <w:rsid w:val="39A45EE9"/>
    <w:rsid w:val="39C41BF8"/>
    <w:rsid w:val="39E723A5"/>
    <w:rsid w:val="39E923B2"/>
    <w:rsid w:val="39F43547"/>
    <w:rsid w:val="3A075CD0"/>
    <w:rsid w:val="3A0D2241"/>
    <w:rsid w:val="3A210425"/>
    <w:rsid w:val="3A240EB7"/>
    <w:rsid w:val="3A470630"/>
    <w:rsid w:val="3A503D41"/>
    <w:rsid w:val="3A604004"/>
    <w:rsid w:val="3A663D86"/>
    <w:rsid w:val="3A685D4F"/>
    <w:rsid w:val="3A6D24A0"/>
    <w:rsid w:val="3A7138A1"/>
    <w:rsid w:val="3A7548E0"/>
    <w:rsid w:val="3A76206A"/>
    <w:rsid w:val="3A7D686F"/>
    <w:rsid w:val="3A870AEB"/>
    <w:rsid w:val="3A8A2EF9"/>
    <w:rsid w:val="3A981920"/>
    <w:rsid w:val="3A997E1E"/>
    <w:rsid w:val="3A9B761B"/>
    <w:rsid w:val="3A9C0FD6"/>
    <w:rsid w:val="3AAF6656"/>
    <w:rsid w:val="3ABB6EEB"/>
    <w:rsid w:val="3AD36981"/>
    <w:rsid w:val="3AE40A24"/>
    <w:rsid w:val="3AF2181B"/>
    <w:rsid w:val="3AF342AA"/>
    <w:rsid w:val="3B1146BE"/>
    <w:rsid w:val="3B3D1998"/>
    <w:rsid w:val="3B4F31E2"/>
    <w:rsid w:val="3B512010"/>
    <w:rsid w:val="3B55588B"/>
    <w:rsid w:val="3B5968F8"/>
    <w:rsid w:val="3B5B264A"/>
    <w:rsid w:val="3B6B031B"/>
    <w:rsid w:val="3B8402B3"/>
    <w:rsid w:val="3B985BAF"/>
    <w:rsid w:val="3BA07CCC"/>
    <w:rsid w:val="3BB1034B"/>
    <w:rsid w:val="3BB13878"/>
    <w:rsid w:val="3BB37EB0"/>
    <w:rsid w:val="3BB821A2"/>
    <w:rsid w:val="3BBC55D5"/>
    <w:rsid w:val="3BCB63EA"/>
    <w:rsid w:val="3BD46F8A"/>
    <w:rsid w:val="3BD95DAE"/>
    <w:rsid w:val="3BE778A5"/>
    <w:rsid w:val="3BEA1D5A"/>
    <w:rsid w:val="3BFE3F88"/>
    <w:rsid w:val="3C01633F"/>
    <w:rsid w:val="3C1B4C19"/>
    <w:rsid w:val="3C1D1423"/>
    <w:rsid w:val="3C2A08F8"/>
    <w:rsid w:val="3C2C7100"/>
    <w:rsid w:val="3C2C7C82"/>
    <w:rsid w:val="3C2E1498"/>
    <w:rsid w:val="3C341711"/>
    <w:rsid w:val="3C5D4260"/>
    <w:rsid w:val="3C7A6744"/>
    <w:rsid w:val="3C7A7E5F"/>
    <w:rsid w:val="3C8E5AF1"/>
    <w:rsid w:val="3C9F111F"/>
    <w:rsid w:val="3CA47F13"/>
    <w:rsid w:val="3CAF42A6"/>
    <w:rsid w:val="3CD01AB6"/>
    <w:rsid w:val="3CD473B3"/>
    <w:rsid w:val="3CE726C3"/>
    <w:rsid w:val="3CED52F5"/>
    <w:rsid w:val="3CF13CE0"/>
    <w:rsid w:val="3D177B24"/>
    <w:rsid w:val="3D19588B"/>
    <w:rsid w:val="3D1A32E3"/>
    <w:rsid w:val="3D1F11AD"/>
    <w:rsid w:val="3D2D3C32"/>
    <w:rsid w:val="3D363DDD"/>
    <w:rsid w:val="3D381736"/>
    <w:rsid w:val="3D46799D"/>
    <w:rsid w:val="3D4B5E38"/>
    <w:rsid w:val="3D6A7DBE"/>
    <w:rsid w:val="3D6F7357"/>
    <w:rsid w:val="3D814D45"/>
    <w:rsid w:val="3D866A6B"/>
    <w:rsid w:val="3D8B5C98"/>
    <w:rsid w:val="3DAD4462"/>
    <w:rsid w:val="3DCA73B6"/>
    <w:rsid w:val="3DCD4296"/>
    <w:rsid w:val="3DDC0FC9"/>
    <w:rsid w:val="3DE649C9"/>
    <w:rsid w:val="3DE85711"/>
    <w:rsid w:val="3DFD0814"/>
    <w:rsid w:val="3E0607DC"/>
    <w:rsid w:val="3E1B0792"/>
    <w:rsid w:val="3E1E20B8"/>
    <w:rsid w:val="3E231C35"/>
    <w:rsid w:val="3E27038C"/>
    <w:rsid w:val="3E365333"/>
    <w:rsid w:val="3E367429"/>
    <w:rsid w:val="3E490524"/>
    <w:rsid w:val="3E4E2624"/>
    <w:rsid w:val="3E524323"/>
    <w:rsid w:val="3E550192"/>
    <w:rsid w:val="3E5F357E"/>
    <w:rsid w:val="3E6A486B"/>
    <w:rsid w:val="3E77798A"/>
    <w:rsid w:val="3E975B8E"/>
    <w:rsid w:val="3E976EC2"/>
    <w:rsid w:val="3EB332E9"/>
    <w:rsid w:val="3EB47A04"/>
    <w:rsid w:val="3EBA716B"/>
    <w:rsid w:val="3ED4362D"/>
    <w:rsid w:val="3EE54F8D"/>
    <w:rsid w:val="3EED4163"/>
    <w:rsid w:val="3EEF72CE"/>
    <w:rsid w:val="3F0D567B"/>
    <w:rsid w:val="3F2918B2"/>
    <w:rsid w:val="3F4B78A5"/>
    <w:rsid w:val="3F5B31CD"/>
    <w:rsid w:val="3F616E39"/>
    <w:rsid w:val="3F624EAF"/>
    <w:rsid w:val="3F7678B6"/>
    <w:rsid w:val="3F983918"/>
    <w:rsid w:val="3F985D4E"/>
    <w:rsid w:val="3FAF4D04"/>
    <w:rsid w:val="3FB87CB9"/>
    <w:rsid w:val="3FC435D8"/>
    <w:rsid w:val="3FE52294"/>
    <w:rsid w:val="40133747"/>
    <w:rsid w:val="4025459D"/>
    <w:rsid w:val="403028DA"/>
    <w:rsid w:val="40335997"/>
    <w:rsid w:val="40575F16"/>
    <w:rsid w:val="40785820"/>
    <w:rsid w:val="40833C2B"/>
    <w:rsid w:val="408E1687"/>
    <w:rsid w:val="409337A4"/>
    <w:rsid w:val="40963EF4"/>
    <w:rsid w:val="409E1529"/>
    <w:rsid w:val="409E7FA3"/>
    <w:rsid w:val="40B34751"/>
    <w:rsid w:val="40BD018E"/>
    <w:rsid w:val="40BD218F"/>
    <w:rsid w:val="40C672BA"/>
    <w:rsid w:val="40CD08F0"/>
    <w:rsid w:val="40CE2F5A"/>
    <w:rsid w:val="40D25D92"/>
    <w:rsid w:val="40E546EA"/>
    <w:rsid w:val="40E71B8C"/>
    <w:rsid w:val="40F25FFE"/>
    <w:rsid w:val="41110B19"/>
    <w:rsid w:val="411A0F2B"/>
    <w:rsid w:val="41290D81"/>
    <w:rsid w:val="41380163"/>
    <w:rsid w:val="413C22D7"/>
    <w:rsid w:val="413C321A"/>
    <w:rsid w:val="413F1A28"/>
    <w:rsid w:val="41493E69"/>
    <w:rsid w:val="415D493A"/>
    <w:rsid w:val="41632624"/>
    <w:rsid w:val="41675555"/>
    <w:rsid w:val="416C488A"/>
    <w:rsid w:val="41737E7D"/>
    <w:rsid w:val="41781A91"/>
    <w:rsid w:val="417A15C5"/>
    <w:rsid w:val="41A46D0C"/>
    <w:rsid w:val="41A8505C"/>
    <w:rsid w:val="41C9652F"/>
    <w:rsid w:val="41F464AC"/>
    <w:rsid w:val="41F724C7"/>
    <w:rsid w:val="41F75337"/>
    <w:rsid w:val="420D4826"/>
    <w:rsid w:val="420E274D"/>
    <w:rsid w:val="421A72A0"/>
    <w:rsid w:val="42233225"/>
    <w:rsid w:val="422D46C5"/>
    <w:rsid w:val="4236577C"/>
    <w:rsid w:val="42401A76"/>
    <w:rsid w:val="42405752"/>
    <w:rsid w:val="424A0813"/>
    <w:rsid w:val="42503497"/>
    <w:rsid w:val="42712309"/>
    <w:rsid w:val="42814892"/>
    <w:rsid w:val="428D066E"/>
    <w:rsid w:val="42914C74"/>
    <w:rsid w:val="4293568A"/>
    <w:rsid w:val="4296309B"/>
    <w:rsid w:val="42A26FE9"/>
    <w:rsid w:val="42AC5D55"/>
    <w:rsid w:val="42BC0A4C"/>
    <w:rsid w:val="42D376E6"/>
    <w:rsid w:val="42D71BE3"/>
    <w:rsid w:val="42EE11C1"/>
    <w:rsid w:val="42F753AA"/>
    <w:rsid w:val="42F843F0"/>
    <w:rsid w:val="43004C55"/>
    <w:rsid w:val="4313114E"/>
    <w:rsid w:val="4316646F"/>
    <w:rsid w:val="43254EC7"/>
    <w:rsid w:val="432F0967"/>
    <w:rsid w:val="434D5A2E"/>
    <w:rsid w:val="434F14F3"/>
    <w:rsid w:val="435E612A"/>
    <w:rsid w:val="43654AC9"/>
    <w:rsid w:val="437215DE"/>
    <w:rsid w:val="437F4FB0"/>
    <w:rsid w:val="438040B7"/>
    <w:rsid w:val="43971D79"/>
    <w:rsid w:val="439C3D6C"/>
    <w:rsid w:val="43B327D8"/>
    <w:rsid w:val="43B816EA"/>
    <w:rsid w:val="43D60893"/>
    <w:rsid w:val="43D70798"/>
    <w:rsid w:val="43FA3513"/>
    <w:rsid w:val="43FF0951"/>
    <w:rsid w:val="44006444"/>
    <w:rsid w:val="440943FD"/>
    <w:rsid w:val="441F0342"/>
    <w:rsid w:val="442D39C5"/>
    <w:rsid w:val="442D7DCA"/>
    <w:rsid w:val="444A793F"/>
    <w:rsid w:val="444B30CE"/>
    <w:rsid w:val="44646BD0"/>
    <w:rsid w:val="446E4778"/>
    <w:rsid w:val="4472017B"/>
    <w:rsid w:val="44733EEE"/>
    <w:rsid w:val="447B0ED1"/>
    <w:rsid w:val="447E7D8A"/>
    <w:rsid w:val="44882F46"/>
    <w:rsid w:val="449D5DFE"/>
    <w:rsid w:val="44B81091"/>
    <w:rsid w:val="44BC1D3C"/>
    <w:rsid w:val="44BC5BD2"/>
    <w:rsid w:val="44CF38E7"/>
    <w:rsid w:val="44DB1B3F"/>
    <w:rsid w:val="44E065F3"/>
    <w:rsid w:val="44E12A03"/>
    <w:rsid w:val="44F84DB6"/>
    <w:rsid w:val="44FB2A3C"/>
    <w:rsid w:val="45064821"/>
    <w:rsid w:val="450D170F"/>
    <w:rsid w:val="45354370"/>
    <w:rsid w:val="453C7681"/>
    <w:rsid w:val="454C75D9"/>
    <w:rsid w:val="456D6876"/>
    <w:rsid w:val="457E1199"/>
    <w:rsid w:val="45852166"/>
    <w:rsid w:val="458842E2"/>
    <w:rsid w:val="459C73EE"/>
    <w:rsid w:val="45BE3194"/>
    <w:rsid w:val="45C5567F"/>
    <w:rsid w:val="45CA2D84"/>
    <w:rsid w:val="45CD2A7E"/>
    <w:rsid w:val="45E72A2F"/>
    <w:rsid w:val="45E91B46"/>
    <w:rsid w:val="45FE6017"/>
    <w:rsid w:val="462521DE"/>
    <w:rsid w:val="46277B57"/>
    <w:rsid w:val="462A6127"/>
    <w:rsid w:val="462D24D3"/>
    <w:rsid w:val="46317064"/>
    <w:rsid w:val="464067A4"/>
    <w:rsid w:val="464C0AF5"/>
    <w:rsid w:val="46516849"/>
    <w:rsid w:val="46524545"/>
    <w:rsid w:val="466406C0"/>
    <w:rsid w:val="46680D27"/>
    <w:rsid w:val="467173B1"/>
    <w:rsid w:val="46792D44"/>
    <w:rsid w:val="46846F96"/>
    <w:rsid w:val="46A56252"/>
    <w:rsid w:val="46C74E6F"/>
    <w:rsid w:val="46DE129A"/>
    <w:rsid w:val="46E56408"/>
    <w:rsid w:val="46E6036B"/>
    <w:rsid w:val="46E86AA0"/>
    <w:rsid w:val="46EC7BD1"/>
    <w:rsid w:val="46ED2D20"/>
    <w:rsid w:val="47024E75"/>
    <w:rsid w:val="470B3D71"/>
    <w:rsid w:val="470E7D16"/>
    <w:rsid w:val="4710275B"/>
    <w:rsid w:val="472B1EBE"/>
    <w:rsid w:val="472D4A8C"/>
    <w:rsid w:val="47305B00"/>
    <w:rsid w:val="47363684"/>
    <w:rsid w:val="473B10A6"/>
    <w:rsid w:val="4740578E"/>
    <w:rsid w:val="47560503"/>
    <w:rsid w:val="475B0897"/>
    <w:rsid w:val="47845D3C"/>
    <w:rsid w:val="47910791"/>
    <w:rsid w:val="479A3CD2"/>
    <w:rsid w:val="47A109DC"/>
    <w:rsid w:val="47A421AA"/>
    <w:rsid w:val="47A56FB6"/>
    <w:rsid w:val="47B72F0E"/>
    <w:rsid w:val="47BD258E"/>
    <w:rsid w:val="47BE651E"/>
    <w:rsid w:val="47D15093"/>
    <w:rsid w:val="47EA5D53"/>
    <w:rsid w:val="4800222D"/>
    <w:rsid w:val="482A16C7"/>
    <w:rsid w:val="48392DE1"/>
    <w:rsid w:val="484B14DB"/>
    <w:rsid w:val="48560D36"/>
    <w:rsid w:val="486539A5"/>
    <w:rsid w:val="48704CE1"/>
    <w:rsid w:val="487333EE"/>
    <w:rsid w:val="4873553A"/>
    <w:rsid w:val="487433D4"/>
    <w:rsid w:val="488463F5"/>
    <w:rsid w:val="488F0019"/>
    <w:rsid w:val="48A0447E"/>
    <w:rsid w:val="48AD1A27"/>
    <w:rsid w:val="48B53CD2"/>
    <w:rsid w:val="48B64D9E"/>
    <w:rsid w:val="48BE2951"/>
    <w:rsid w:val="48C80B89"/>
    <w:rsid w:val="48D47060"/>
    <w:rsid w:val="48D52630"/>
    <w:rsid w:val="48DA63E2"/>
    <w:rsid w:val="48ED181D"/>
    <w:rsid w:val="49074DCC"/>
    <w:rsid w:val="49180D14"/>
    <w:rsid w:val="49211320"/>
    <w:rsid w:val="49225755"/>
    <w:rsid w:val="49234BEF"/>
    <w:rsid w:val="49345DB1"/>
    <w:rsid w:val="493C7498"/>
    <w:rsid w:val="494D4B72"/>
    <w:rsid w:val="49640331"/>
    <w:rsid w:val="49672488"/>
    <w:rsid w:val="49763CBE"/>
    <w:rsid w:val="497B74D5"/>
    <w:rsid w:val="497D4BD7"/>
    <w:rsid w:val="499261CD"/>
    <w:rsid w:val="49936CC9"/>
    <w:rsid w:val="4994238F"/>
    <w:rsid w:val="49967B9F"/>
    <w:rsid w:val="499940D0"/>
    <w:rsid w:val="499A3997"/>
    <w:rsid w:val="499E664C"/>
    <w:rsid w:val="49AA7EDD"/>
    <w:rsid w:val="49B2685C"/>
    <w:rsid w:val="49BC1FCE"/>
    <w:rsid w:val="49BD6AB5"/>
    <w:rsid w:val="49BD7CE8"/>
    <w:rsid w:val="49CA5E62"/>
    <w:rsid w:val="49D17169"/>
    <w:rsid w:val="49D2178A"/>
    <w:rsid w:val="49D309B1"/>
    <w:rsid w:val="49E77BC2"/>
    <w:rsid w:val="49F57919"/>
    <w:rsid w:val="4A047BD9"/>
    <w:rsid w:val="4A135FC5"/>
    <w:rsid w:val="4A1361E3"/>
    <w:rsid w:val="4A146352"/>
    <w:rsid w:val="4A236B83"/>
    <w:rsid w:val="4A4241C0"/>
    <w:rsid w:val="4A652DA2"/>
    <w:rsid w:val="4A677490"/>
    <w:rsid w:val="4A77730C"/>
    <w:rsid w:val="4A816416"/>
    <w:rsid w:val="4A916AA2"/>
    <w:rsid w:val="4A94106F"/>
    <w:rsid w:val="4AA6740F"/>
    <w:rsid w:val="4AA748F6"/>
    <w:rsid w:val="4ACD55CF"/>
    <w:rsid w:val="4AD9119F"/>
    <w:rsid w:val="4ADF2F20"/>
    <w:rsid w:val="4ADF660E"/>
    <w:rsid w:val="4AF43780"/>
    <w:rsid w:val="4B0108EC"/>
    <w:rsid w:val="4B0C5448"/>
    <w:rsid w:val="4B1C3765"/>
    <w:rsid w:val="4B307E78"/>
    <w:rsid w:val="4B3D5624"/>
    <w:rsid w:val="4B3E2BB4"/>
    <w:rsid w:val="4B515C1D"/>
    <w:rsid w:val="4B532A7C"/>
    <w:rsid w:val="4B536925"/>
    <w:rsid w:val="4B5529C3"/>
    <w:rsid w:val="4B5747DD"/>
    <w:rsid w:val="4B602A67"/>
    <w:rsid w:val="4B661BFC"/>
    <w:rsid w:val="4B82349C"/>
    <w:rsid w:val="4B8456CC"/>
    <w:rsid w:val="4B97508D"/>
    <w:rsid w:val="4B9F7E7D"/>
    <w:rsid w:val="4BA9707E"/>
    <w:rsid w:val="4BBD6C5C"/>
    <w:rsid w:val="4BC33A45"/>
    <w:rsid w:val="4BDA6FA5"/>
    <w:rsid w:val="4BDC3CFF"/>
    <w:rsid w:val="4BE105AB"/>
    <w:rsid w:val="4BE47170"/>
    <w:rsid w:val="4C0446F8"/>
    <w:rsid w:val="4C14762E"/>
    <w:rsid w:val="4C165C47"/>
    <w:rsid w:val="4C1721B2"/>
    <w:rsid w:val="4C1F422E"/>
    <w:rsid w:val="4C26512F"/>
    <w:rsid w:val="4C27167D"/>
    <w:rsid w:val="4C2E74AE"/>
    <w:rsid w:val="4C311244"/>
    <w:rsid w:val="4C377440"/>
    <w:rsid w:val="4C394762"/>
    <w:rsid w:val="4C4135E7"/>
    <w:rsid w:val="4C522E82"/>
    <w:rsid w:val="4C534572"/>
    <w:rsid w:val="4C5E44E0"/>
    <w:rsid w:val="4C632A9C"/>
    <w:rsid w:val="4C6406A8"/>
    <w:rsid w:val="4C81659A"/>
    <w:rsid w:val="4C852041"/>
    <w:rsid w:val="4C9037DE"/>
    <w:rsid w:val="4C986729"/>
    <w:rsid w:val="4CA24479"/>
    <w:rsid w:val="4CA37B25"/>
    <w:rsid w:val="4CA724D4"/>
    <w:rsid w:val="4CA94F4A"/>
    <w:rsid w:val="4CD33A12"/>
    <w:rsid w:val="4CDF3448"/>
    <w:rsid w:val="4CE21880"/>
    <w:rsid w:val="4CF12C7B"/>
    <w:rsid w:val="4CF16144"/>
    <w:rsid w:val="4CF5339A"/>
    <w:rsid w:val="4CF825C4"/>
    <w:rsid w:val="4CFF1709"/>
    <w:rsid w:val="4D01568B"/>
    <w:rsid w:val="4D125229"/>
    <w:rsid w:val="4D254B64"/>
    <w:rsid w:val="4D2A2565"/>
    <w:rsid w:val="4D324DFF"/>
    <w:rsid w:val="4D413BA3"/>
    <w:rsid w:val="4D421C5E"/>
    <w:rsid w:val="4D4B5395"/>
    <w:rsid w:val="4D4D1033"/>
    <w:rsid w:val="4D5A4707"/>
    <w:rsid w:val="4D63318D"/>
    <w:rsid w:val="4D645411"/>
    <w:rsid w:val="4D645EB6"/>
    <w:rsid w:val="4D6E0713"/>
    <w:rsid w:val="4D721878"/>
    <w:rsid w:val="4D734A0A"/>
    <w:rsid w:val="4D7B3196"/>
    <w:rsid w:val="4D8F0C92"/>
    <w:rsid w:val="4DB97D27"/>
    <w:rsid w:val="4DBD3050"/>
    <w:rsid w:val="4DC50B4D"/>
    <w:rsid w:val="4DC90101"/>
    <w:rsid w:val="4DCA521C"/>
    <w:rsid w:val="4DDB1196"/>
    <w:rsid w:val="4DE15E43"/>
    <w:rsid w:val="4DE7147F"/>
    <w:rsid w:val="4DE71A2E"/>
    <w:rsid w:val="4E0931F6"/>
    <w:rsid w:val="4E0B3650"/>
    <w:rsid w:val="4E0F13BD"/>
    <w:rsid w:val="4E1C4AD6"/>
    <w:rsid w:val="4E203B8D"/>
    <w:rsid w:val="4E240F25"/>
    <w:rsid w:val="4E513FE1"/>
    <w:rsid w:val="4E526174"/>
    <w:rsid w:val="4E5424AE"/>
    <w:rsid w:val="4E581DF7"/>
    <w:rsid w:val="4E5B7F4E"/>
    <w:rsid w:val="4E69487C"/>
    <w:rsid w:val="4E8006F2"/>
    <w:rsid w:val="4E866E23"/>
    <w:rsid w:val="4EAA0D50"/>
    <w:rsid w:val="4EBA236E"/>
    <w:rsid w:val="4ECE7D2E"/>
    <w:rsid w:val="4ED50B6F"/>
    <w:rsid w:val="4ED829F3"/>
    <w:rsid w:val="4EE01147"/>
    <w:rsid w:val="4EE54AA4"/>
    <w:rsid w:val="4EE56733"/>
    <w:rsid w:val="4EE87290"/>
    <w:rsid w:val="4EF25978"/>
    <w:rsid w:val="4EFA3180"/>
    <w:rsid w:val="4EFA32ED"/>
    <w:rsid w:val="4EFF0DA9"/>
    <w:rsid w:val="4F070039"/>
    <w:rsid w:val="4F100925"/>
    <w:rsid w:val="4F1E65E5"/>
    <w:rsid w:val="4F1E7131"/>
    <w:rsid w:val="4F3D1FA2"/>
    <w:rsid w:val="4F45467E"/>
    <w:rsid w:val="4F48529E"/>
    <w:rsid w:val="4F554631"/>
    <w:rsid w:val="4F574D37"/>
    <w:rsid w:val="4F5D1D5E"/>
    <w:rsid w:val="4F6B442E"/>
    <w:rsid w:val="4F6F50F7"/>
    <w:rsid w:val="4F7E10AB"/>
    <w:rsid w:val="4F8812DE"/>
    <w:rsid w:val="4F9C658B"/>
    <w:rsid w:val="4F9F4EDF"/>
    <w:rsid w:val="4FB809BD"/>
    <w:rsid w:val="4FBB4082"/>
    <w:rsid w:val="4FC13407"/>
    <w:rsid w:val="4FC74D55"/>
    <w:rsid w:val="4FD00588"/>
    <w:rsid w:val="4FD74239"/>
    <w:rsid w:val="4FE12BFE"/>
    <w:rsid w:val="4FE47F45"/>
    <w:rsid w:val="4FE82D83"/>
    <w:rsid w:val="4FF16D3E"/>
    <w:rsid w:val="5017744A"/>
    <w:rsid w:val="501B2746"/>
    <w:rsid w:val="501B4CC4"/>
    <w:rsid w:val="501F78A7"/>
    <w:rsid w:val="502812EC"/>
    <w:rsid w:val="502B315E"/>
    <w:rsid w:val="50624992"/>
    <w:rsid w:val="507D05A2"/>
    <w:rsid w:val="5080748A"/>
    <w:rsid w:val="50861BAC"/>
    <w:rsid w:val="508D7F21"/>
    <w:rsid w:val="50AD1CA1"/>
    <w:rsid w:val="50B6244A"/>
    <w:rsid w:val="50C50FF7"/>
    <w:rsid w:val="50D64F30"/>
    <w:rsid w:val="50D92AAC"/>
    <w:rsid w:val="50E97A96"/>
    <w:rsid w:val="50EB0289"/>
    <w:rsid w:val="50EB499C"/>
    <w:rsid w:val="50F4620B"/>
    <w:rsid w:val="5101036F"/>
    <w:rsid w:val="510F0BD7"/>
    <w:rsid w:val="51146DAC"/>
    <w:rsid w:val="511C113C"/>
    <w:rsid w:val="5124551A"/>
    <w:rsid w:val="5128385D"/>
    <w:rsid w:val="512B7DF7"/>
    <w:rsid w:val="51482ED4"/>
    <w:rsid w:val="517778AB"/>
    <w:rsid w:val="519945F1"/>
    <w:rsid w:val="519B68F6"/>
    <w:rsid w:val="51A30C8D"/>
    <w:rsid w:val="51AC58CE"/>
    <w:rsid w:val="51B03412"/>
    <w:rsid w:val="51D8191B"/>
    <w:rsid w:val="51E52B01"/>
    <w:rsid w:val="51E7541D"/>
    <w:rsid w:val="51E77346"/>
    <w:rsid w:val="51F4510A"/>
    <w:rsid w:val="51FA1274"/>
    <w:rsid w:val="51FB6747"/>
    <w:rsid w:val="51FD2126"/>
    <w:rsid w:val="51FF3180"/>
    <w:rsid w:val="52120F82"/>
    <w:rsid w:val="522759A1"/>
    <w:rsid w:val="52287CA2"/>
    <w:rsid w:val="523A289A"/>
    <w:rsid w:val="52474208"/>
    <w:rsid w:val="524B17F8"/>
    <w:rsid w:val="524F6628"/>
    <w:rsid w:val="52534DEA"/>
    <w:rsid w:val="5258086F"/>
    <w:rsid w:val="526B4E7B"/>
    <w:rsid w:val="527C1825"/>
    <w:rsid w:val="5297128A"/>
    <w:rsid w:val="52AA34F9"/>
    <w:rsid w:val="52AA4E3B"/>
    <w:rsid w:val="52AC301D"/>
    <w:rsid w:val="52AD457D"/>
    <w:rsid w:val="52CF5448"/>
    <w:rsid w:val="52D515AE"/>
    <w:rsid w:val="52D67751"/>
    <w:rsid w:val="52E104EC"/>
    <w:rsid w:val="52F40C8F"/>
    <w:rsid w:val="52FC6814"/>
    <w:rsid w:val="530A0456"/>
    <w:rsid w:val="530A2210"/>
    <w:rsid w:val="53121E2A"/>
    <w:rsid w:val="531C6CD3"/>
    <w:rsid w:val="5323493B"/>
    <w:rsid w:val="53332C28"/>
    <w:rsid w:val="53384C2D"/>
    <w:rsid w:val="53505510"/>
    <w:rsid w:val="536E442C"/>
    <w:rsid w:val="53791B8A"/>
    <w:rsid w:val="53796A53"/>
    <w:rsid w:val="539D7D54"/>
    <w:rsid w:val="53AB3EAF"/>
    <w:rsid w:val="53AB49B1"/>
    <w:rsid w:val="53B9285B"/>
    <w:rsid w:val="53D714BF"/>
    <w:rsid w:val="53E30294"/>
    <w:rsid w:val="53E945F1"/>
    <w:rsid w:val="53F6405C"/>
    <w:rsid w:val="53F65E3A"/>
    <w:rsid w:val="53F7039A"/>
    <w:rsid w:val="540E1B64"/>
    <w:rsid w:val="541B0D8F"/>
    <w:rsid w:val="54375F10"/>
    <w:rsid w:val="544B02D5"/>
    <w:rsid w:val="544B69D3"/>
    <w:rsid w:val="545A3748"/>
    <w:rsid w:val="545F25B5"/>
    <w:rsid w:val="546A76E7"/>
    <w:rsid w:val="547071FD"/>
    <w:rsid w:val="548A6CB7"/>
    <w:rsid w:val="54965680"/>
    <w:rsid w:val="54973DF6"/>
    <w:rsid w:val="54A64581"/>
    <w:rsid w:val="54AB00FE"/>
    <w:rsid w:val="54B05059"/>
    <w:rsid w:val="54B434BD"/>
    <w:rsid w:val="54C143BF"/>
    <w:rsid w:val="54C77CB3"/>
    <w:rsid w:val="54D13B04"/>
    <w:rsid w:val="54D25252"/>
    <w:rsid w:val="54DA0385"/>
    <w:rsid w:val="54E1548A"/>
    <w:rsid w:val="54E73A6D"/>
    <w:rsid w:val="54EA71EC"/>
    <w:rsid w:val="54FB3311"/>
    <w:rsid w:val="54FB677C"/>
    <w:rsid w:val="5502486C"/>
    <w:rsid w:val="55311991"/>
    <w:rsid w:val="55547FC9"/>
    <w:rsid w:val="557562E2"/>
    <w:rsid w:val="5598772B"/>
    <w:rsid w:val="5599710C"/>
    <w:rsid w:val="559A204B"/>
    <w:rsid w:val="559C7B1A"/>
    <w:rsid w:val="559D7606"/>
    <w:rsid w:val="559F22AA"/>
    <w:rsid w:val="55A01FBF"/>
    <w:rsid w:val="55AD2F82"/>
    <w:rsid w:val="55B94D29"/>
    <w:rsid w:val="55BA07BC"/>
    <w:rsid w:val="55BC7421"/>
    <w:rsid w:val="55C97308"/>
    <w:rsid w:val="55E22D0E"/>
    <w:rsid w:val="55F609F8"/>
    <w:rsid w:val="560558A0"/>
    <w:rsid w:val="56094896"/>
    <w:rsid w:val="560D6954"/>
    <w:rsid w:val="56232C28"/>
    <w:rsid w:val="5625646B"/>
    <w:rsid w:val="5632181D"/>
    <w:rsid w:val="564156A1"/>
    <w:rsid w:val="565B4232"/>
    <w:rsid w:val="565C5D37"/>
    <w:rsid w:val="5668199F"/>
    <w:rsid w:val="566E4383"/>
    <w:rsid w:val="56770B6D"/>
    <w:rsid w:val="56806813"/>
    <w:rsid w:val="56866D37"/>
    <w:rsid w:val="56875839"/>
    <w:rsid w:val="569B590D"/>
    <w:rsid w:val="56A33509"/>
    <w:rsid w:val="56AB30E4"/>
    <w:rsid w:val="56B84096"/>
    <w:rsid w:val="56CD16AB"/>
    <w:rsid w:val="56E8636E"/>
    <w:rsid w:val="56EB2BA3"/>
    <w:rsid w:val="56F043F4"/>
    <w:rsid w:val="57256DD7"/>
    <w:rsid w:val="572C269D"/>
    <w:rsid w:val="572F0A6F"/>
    <w:rsid w:val="57387C2A"/>
    <w:rsid w:val="574262F6"/>
    <w:rsid w:val="57521E9D"/>
    <w:rsid w:val="57533616"/>
    <w:rsid w:val="5754340A"/>
    <w:rsid w:val="57552C36"/>
    <w:rsid w:val="575560AE"/>
    <w:rsid w:val="575B1C8A"/>
    <w:rsid w:val="576F7A0E"/>
    <w:rsid w:val="578B4277"/>
    <w:rsid w:val="57B96CC3"/>
    <w:rsid w:val="57BF341F"/>
    <w:rsid w:val="57C1317B"/>
    <w:rsid w:val="57CD0F9B"/>
    <w:rsid w:val="57D30052"/>
    <w:rsid w:val="57FB35C0"/>
    <w:rsid w:val="580B70E3"/>
    <w:rsid w:val="580E5687"/>
    <w:rsid w:val="581737C0"/>
    <w:rsid w:val="581A6796"/>
    <w:rsid w:val="584D6FF9"/>
    <w:rsid w:val="585313F3"/>
    <w:rsid w:val="58645D46"/>
    <w:rsid w:val="586F5384"/>
    <w:rsid w:val="587F1BCC"/>
    <w:rsid w:val="58911031"/>
    <w:rsid w:val="58A21BAA"/>
    <w:rsid w:val="58AA5499"/>
    <w:rsid w:val="58AC1893"/>
    <w:rsid w:val="58AF61DA"/>
    <w:rsid w:val="58C64FEB"/>
    <w:rsid w:val="58CE7FD6"/>
    <w:rsid w:val="58D5286D"/>
    <w:rsid w:val="58D5415C"/>
    <w:rsid w:val="58D6185C"/>
    <w:rsid w:val="58D802D9"/>
    <w:rsid w:val="58D95AF4"/>
    <w:rsid w:val="58E558B5"/>
    <w:rsid w:val="59076F05"/>
    <w:rsid w:val="590913B8"/>
    <w:rsid w:val="592979C2"/>
    <w:rsid w:val="592D6B00"/>
    <w:rsid w:val="5937123F"/>
    <w:rsid w:val="59413F88"/>
    <w:rsid w:val="59577A2E"/>
    <w:rsid w:val="595A6234"/>
    <w:rsid w:val="5960590A"/>
    <w:rsid w:val="596757F9"/>
    <w:rsid w:val="59726626"/>
    <w:rsid w:val="597F7CB3"/>
    <w:rsid w:val="598075E5"/>
    <w:rsid w:val="598E65D8"/>
    <w:rsid w:val="598F33FC"/>
    <w:rsid w:val="5993600B"/>
    <w:rsid w:val="59995545"/>
    <w:rsid w:val="599C48B6"/>
    <w:rsid w:val="59AA13F5"/>
    <w:rsid w:val="59BE7B37"/>
    <w:rsid w:val="59CF57D7"/>
    <w:rsid w:val="59D35E0D"/>
    <w:rsid w:val="59DE54FE"/>
    <w:rsid w:val="59DF50A3"/>
    <w:rsid w:val="59E16930"/>
    <w:rsid w:val="5A0520FE"/>
    <w:rsid w:val="5A0A3946"/>
    <w:rsid w:val="5A1F7C7E"/>
    <w:rsid w:val="5A2F2AB8"/>
    <w:rsid w:val="5A394D3B"/>
    <w:rsid w:val="5A524D54"/>
    <w:rsid w:val="5A5520DE"/>
    <w:rsid w:val="5A720760"/>
    <w:rsid w:val="5A7662F5"/>
    <w:rsid w:val="5A777252"/>
    <w:rsid w:val="5A796AF4"/>
    <w:rsid w:val="5A7C72F6"/>
    <w:rsid w:val="5A7F34E8"/>
    <w:rsid w:val="5A971A6C"/>
    <w:rsid w:val="5AB37439"/>
    <w:rsid w:val="5AD53C3E"/>
    <w:rsid w:val="5AD86BCA"/>
    <w:rsid w:val="5B0076A5"/>
    <w:rsid w:val="5B040106"/>
    <w:rsid w:val="5B075D73"/>
    <w:rsid w:val="5B122F61"/>
    <w:rsid w:val="5B1A6E77"/>
    <w:rsid w:val="5B1D6BA5"/>
    <w:rsid w:val="5B222E5E"/>
    <w:rsid w:val="5B277452"/>
    <w:rsid w:val="5B470B23"/>
    <w:rsid w:val="5B6352C2"/>
    <w:rsid w:val="5B7258BF"/>
    <w:rsid w:val="5B7560A5"/>
    <w:rsid w:val="5B80012D"/>
    <w:rsid w:val="5B812653"/>
    <w:rsid w:val="5BA32A96"/>
    <w:rsid w:val="5BB6690C"/>
    <w:rsid w:val="5BC81473"/>
    <w:rsid w:val="5BCF1A89"/>
    <w:rsid w:val="5BE54467"/>
    <w:rsid w:val="5BF5665E"/>
    <w:rsid w:val="5C066655"/>
    <w:rsid w:val="5C0F647D"/>
    <w:rsid w:val="5C1A49C0"/>
    <w:rsid w:val="5C210C28"/>
    <w:rsid w:val="5C211993"/>
    <w:rsid w:val="5C3B78C2"/>
    <w:rsid w:val="5C5010A0"/>
    <w:rsid w:val="5C6A5D17"/>
    <w:rsid w:val="5C6D67A6"/>
    <w:rsid w:val="5C6E20CE"/>
    <w:rsid w:val="5C7C1515"/>
    <w:rsid w:val="5C88304F"/>
    <w:rsid w:val="5C9331EF"/>
    <w:rsid w:val="5CA96F13"/>
    <w:rsid w:val="5CAE2D55"/>
    <w:rsid w:val="5CB6289D"/>
    <w:rsid w:val="5CBC4DB1"/>
    <w:rsid w:val="5CCA1645"/>
    <w:rsid w:val="5CCA6D92"/>
    <w:rsid w:val="5CCF28A8"/>
    <w:rsid w:val="5CD2079C"/>
    <w:rsid w:val="5CDA6C2D"/>
    <w:rsid w:val="5CE75880"/>
    <w:rsid w:val="5CE80984"/>
    <w:rsid w:val="5CEE7C4E"/>
    <w:rsid w:val="5CF213E9"/>
    <w:rsid w:val="5D0436C0"/>
    <w:rsid w:val="5D172DD5"/>
    <w:rsid w:val="5D1D0EDF"/>
    <w:rsid w:val="5D2666AA"/>
    <w:rsid w:val="5D302468"/>
    <w:rsid w:val="5D402545"/>
    <w:rsid w:val="5D4767CF"/>
    <w:rsid w:val="5D5326C9"/>
    <w:rsid w:val="5D57595E"/>
    <w:rsid w:val="5D5F6F6B"/>
    <w:rsid w:val="5D644354"/>
    <w:rsid w:val="5D7646F7"/>
    <w:rsid w:val="5D7E63CB"/>
    <w:rsid w:val="5D886DB9"/>
    <w:rsid w:val="5D8A790F"/>
    <w:rsid w:val="5D934C4C"/>
    <w:rsid w:val="5D9938F7"/>
    <w:rsid w:val="5D9A226E"/>
    <w:rsid w:val="5DB10FA5"/>
    <w:rsid w:val="5DCD6052"/>
    <w:rsid w:val="5DD22C49"/>
    <w:rsid w:val="5DDB560E"/>
    <w:rsid w:val="5DE34115"/>
    <w:rsid w:val="5DE37CAB"/>
    <w:rsid w:val="5DE40FD2"/>
    <w:rsid w:val="5DFA0869"/>
    <w:rsid w:val="5DFF5EAF"/>
    <w:rsid w:val="5E1957E1"/>
    <w:rsid w:val="5E1E68BD"/>
    <w:rsid w:val="5E273D28"/>
    <w:rsid w:val="5E2757A5"/>
    <w:rsid w:val="5E3A68BF"/>
    <w:rsid w:val="5E423C9D"/>
    <w:rsid w:val="5E4B2CAD"/>
    <w:rsid w:val="5E4E7B9A"/>
    <w:rsid w:val="5E58331F"/>
    <w:rsid w:val="5E6623B7"/>
    <w:rsid w:val="5E6E214A"/>
    <w:rsid w:val="5E790FE3"/>
    <w:rsid w:val="5E7E62D4"/>
    <w:rsid w:val="5E7F41DC"/>
    <w:rsid w:val="5E80279B"/>
    <w:rsid w:val="5E82683F"/>
    <w:rsid w:val="5E9E439A"/>
    <w:rsid w:val="5EC1051C"/>
    <w:rsid w:val="5ECD7A44"/>
    <w:rsid w:val="5ED5480A"/>
    <w:rsid w:val="5ED61BF6"/>
    <w:rsid w:val="5EDF43F0"/>
    <w:rsid w:val="5EE70D08"/>
    <w:rsid w:val="5EEE34D6"/>
    <w:rsid w:val="5EF35685"/>
    <w:rsid w:val="5EF76161"/>
    <w:rsid w:val="5EF93D8F"/>
    <w:rsid w:val="5EFB3C64"/>
    <w:rsid w:val="5F085F4B"/>
    <w:rsid w:val="5F292FEA"/>
    <w:rsid w:val="5F2B3FCB"/>
    <w:rsid w:val="5F35384D"/>
    <w:rsid w:val="5F381EBF"/>
    <w:rsid w:val="5F4727E8"/>
    <w:rsid w:val="5F580C51"/>
    <w:rsid w:val="5F5D5212"/>
    <w:rsid w:val="5F616F1E"/>
    <w:rsid w:val="5F62233B"/>
    <w:rsid w:val="5F6E3810"/>
    <w:rsid w:val="5F7D0C9E"/>
    <w:rsid w:val="5F7F083D"/>
    <w:rsid w:val="5F8A6719"/>
    <w:rsid w:val="5F8E1448"/>
    <w:rsid w:val="5F8F5279"/>
    <w:rsid w:val="5FB62A7C"/>
    <w:rsid w:val="5FDE2C9C"/>
    <w:rsid w:val="5FF377EB"/>
    <w:rsid w:val="600D47B3"/>
    <w:rsid w:val="600F294B"/>
    <w:rsid w:val="6017739E"/>
    <w:rsid w:val="601C0004"/>
    <w:rsid w:val="601F628A"/>
    <w:rsid w:val="603A0BE1"/>
    <w:rsid w:val="6042227C"/>
    <w:rsid w:val="60431412"/>
    <w:rsid w:val="605D61F6"/>
    <w:rsid w:val="60603BDB"/>
    <w:rsid w:val="607E54FA"/>
    <w:rsid w:val="60820014"/>
    <w:rsid w:val="608E4471"/>
    <w:rsid w:val="609B1395"/>
    <w:rsid w:val="60A96E0F"/>
    <w:rsid w:val="60B735F1"/>
    <w:rsid w:val="60BC6AAA"/>
    <w:rsid w:val="60C02177"/>
    <w:rsid w:val="60C3255D"/>
    <w:rsid w:val="60C73A53"/>
    <w:rsid w:val="60CA1011"/>
    <w:rsid w:val="60D61DE1"/>
    <w:rsid w:val="60D93D16"/>
    <w:rsid w:val="60EF46E7"/>
    <w:rsid w:val="60F353E2"/>
    <w:rsid w:val="60F744AE"/>
    <w:rsid w:val="61001C16"/>
    <w:rsid w:val="610E59FC"/>
    <w:rsid w:val="6117665B"/>
    <w:rsid w:val="61230C89"/>
    <w:rsid w:val="612C66DA"/>
    <w:rsid w:val="614A1EE9"/>
    <w:rsid w:val="61536C9F"/>
    <w:rsid w:val="61605AEA"/>
    <w:rsid w:val="616F7F20"/>
    <w:rsid w:val="61826F13"/>
    <w:rsid w:val="61890632"/>
    <w:rsid w:val="619D2EEB"/>
    <w:rsid w:val="61A34D8F"/>
    <w:rsid w:val="61AF12D7"/>
    <w:rsid w:val="61B00430"/>
    <w:rsid w:val="61D23A71"/>
    <w:rsid w:val="61F50CD2"/>
    <w:rsid w:val="61FA6FDE"/>
    <w:rsid w:val="62122E07"/>
    <w:rsid w:val="621935E2"/>
    <w:rsid w:val="62302459"/>
    <w:rsid w:val="62326FBB"/>
    <w:rsid w:val="624A2CBD"/>
    <w:rsid w:val="624B64D8"/>
    <w:rsid w:val="625C0823"/>
    <w:rsid w:val="62627E6D"/>
    <w:rsid w:val="626323E8"/>
    <w:rsid w:val="626C7A60"/>
    <w:rsid w:val="627128B7"/>
    <w:rsid w:val="627772CD"/>
    <w:rsid w:val="628D16B7"/>
    <w:rsid w:val="62970DDE"/>
    <w:rsid w:val="62993FEF"/>
    <w:rsid w:val="629A3582"/>
    <w:rsid w:val="62A17599"/>
    <w:rsid w:val="62AB7DC9"/>
    <w:rsid w:val="62B31E5F"/>
    <w:rsid w:val="62BD22A4"/>
    <w:rsid w:val="62CB2BE3"/>
    <w:rsid w:val="62D5220B"/>
    <w:rsid w:val="631457E6"/>
    <w:rsid w:val="63540977"/>
    <w:rsid w:val="636A51B0"/>
    <w:rsid w:val="63707E7A"/>
    <w:rsid w:val="637227FD"/>
    <w:rsid w:val="63801469"/>
    <w:rsid w:val="638A28CA"/>
    <w:rsid w:val="638C4421"/>
    <w:rsid w:val="63C12483"/>
    <w:rsid w:val="63CB35A1"/>
    <w:rsid w:val="63D273B6"/>
    <w:rsid w:val="63DB018B"/>
    <w:rsid w:val="63E75957"/>
    <w:rsid w:val="63FE1B29"/>
    <w:rsid w:val="640A4709"/>
    <w:rsid w:val="640D1C0E"/>
    <w:rsid w:val="64373F9A"/>
    <w:rsid w:val="64434833"/>
    <w:rsid w:val="64625715"/>
    <w:rsid w:val="64656F6C"/>
    <w:rsid w:val="646C7819"/>
    <w:rsid w:val="647F1BC2"/>
    <w:rsid w:val="64865C23"/>
    <w:rsid w:val="64AF773C"/>
    <w:rsid w:val="64B12F9F"/>
    <w:rsid w:val="64B14E17"/>
    <w:rsid w:val="64B37F46"/>
    <w:rsid w:val="64D43CFE"/>
    <w:rsid w:val="64D776C2"/>
    <w:rsid w:val="64E61E9D"/>
    <w:rsid w:val="64EC142C"/>
    <w:rsid w:val="64FA0419"/>
    <w:rsid w:val="64FE77E7"/>
    <w:rsid w:val="65035EC5"/>
    <w:rsid w:val="65130C49"/>
    <w:rsid w:val="651776A9"/>
    <w:rsid w:val="65247CEE"/>
    <w:rsid w:val="652B364D"/>
    <w:rsid w:val="654B7B10"/>
    <w:rsid w:val="654F0AE0"/>
    <w:rsid w:val="655527FD"/>
    <w:rsid w:val="655C5553"/>
    <w:rsid w:val="65714438"/>
    <w:rsid w:val="65776701"/>
    <w:rsid w:val="659035CD"/>
    <w:rsid w:val="65A22449"/>
    <w:rsid w:val="65A66044"/>
    <w:rsid w:val="65B40423"/>
    <w:rsid w:val="65C33F94"/>
    <w:rsid w:val="65C5364C"/>
    <w:rsid w:val="65CA3632"/>
    <w:rsid w:val="65CE5C1C"/>
    <w:rsid w:val="65D6326C"/>
    <w:rsid w:val="65DE1169"/>
    <w:rsid w:val="65E3062C"/>
    <w:rsid w:val="65EF66F5"/>
    <w:rsid w:val="65F845FD"/>
    <w:rsid w:val="65FF25CD"/>
    <w:rsid w:val="660211CB"/>
    <w:rsid w:val="660F0856"/>
    <w:rsid w:val="661125D6"/>
    <w:rsid w:val="6619195E"/>
    <w:rsid w:val="6624675C"/>
    <w:rsid w:val="66394CEF"/>
    <w:rsid w:val="6650041C"/>
    <w:rsid w:val="66513899"/>
    <w:rsid w:val="66526A94"/>
    <w:rsid w:val="665E5620"/>
    <w:rsid w:val="666F209B"/>
    <w:rsid w:val="667B3B04"/>
    <w:rsid w:val="667B5985"/>
    <w:rsid w:val="667E5F27"/>
    <w:rsid w:val="66874B50"/>
    <w:rsid w:val="66886D3E"/>
    <w:rsid w:val="668D0128"/>
    <w:rsid w:val="66924AFA"/>
    <w:rsid w:val="66957FE0"/>
    <w:rsid w:val="66A800C5"/>
    <w:rsid w:val="66B05C90"/>
    <w:rsid w:val="66CA267A"/>
    <w:rsid w:val="66D27B45"/>
    <w:rsid w:val="66D4217C"/>
    <w:rsid w:val="66E31C89"/>
    <w:rsid w:val="66E751F7"/>
    <w:rsid w:val="66E84FB8"/>
    <w:rsid w:val="670311B5"/>
    <w:rsid w:val="67031F0C"/>
    <w:rsid w:val="670759DA"/>
    <w:rsid w:val="67180FA0"/>
    <w:rsid w:val="671D3414"/>
    <w:rsid w:val="67220790"/>
    <w:rsid w:val="673150A1"/>
    <w:rsid w:val="67316694"/>
    <w:rsid w:val="67353229"/>
    <w:rsid w:val="673B3D8F"/>
    <w:rsid w:val="67654384"/>
    <w:rsid w:val="676E5562"/>
    <w:rsid w:val="677034AF"/>
    <w:rsid w:val="67801966"/>
    <w:rsid w:val="678D31A4"/>
    <w:rsid w:val="679014C8"/>
    <w:rsid w:val="67937F29"/>
    <w:rsid w:val="67C250DB"/>
    <w:rsid w:val="67C719BF"/>
    <w:rsid w:val="67C97BC2"/>
    <w:rsid w:val="67CD7E82"/>
    <w:rsid w:val="67E33984"/>
    <w:rsid w:val="67E638BA"/>
    <w:rsid w:val="67F727E5"/>
    <w:rsid w:val="67FF0612"/>
    <w:rsid w:val="680B035B"/>
    <w:rsid w:val="681A6701"/>
    <w:rsid w:val="681E7E98"/>
    <w:rsid w:val="68244C38"/>
    <w:rsid w:val="682C1D3F"/>
    <w:rsid w:val="682E21E5"/>
    <w:rsid w:val="68315DA3"/>
    <w:rsid w:val="68317FA2"/>
    <w:rsid w:val="68426BD9"/>
    <w:rsid w:val="68433D22"/>
    <w:rsid w:val="68482764"/>
    <w:rsid w:val="684F554F"/>
    <w:rsid w:val="685D3CE1"/>
    <w:rsid w:val="687A1424"/>
    <w:rsid w:val="687A6138"/>
    <w:rsid w:val="68BD7B59"/>
    <w:rsid w:val="68BE6B85"/>
    <w:rsid w:val="68C36B8E"/>
    <w:rsid w:val="68CC48B1"/>
    <w:rsid w:val="68CD60A9"/>
    <w:rsid w:val="68D737CF"/>
    <w:rsid w:val="68DC0921"/>
    <w:rsid w:val="68E11608"/>
    <w:rsid w:val="68E172BB"/>
    <w:rsid w:val="68F7449A"/>
    <w:rsid w:val="690728F4"/>
    <w:rsid w:val="690D63B9"/>
    <w:rsid w:val="6910619E"/>
    <w:rsid w:val="691D0E4B"/>
    <w:rsid w:val="693437FC"/>
    <w:rsid w:val="6964247D"/>
    <w:rsid w:val="697405BD"/>
    <w:rsid w:val="6979238F"/>
    <w:rsid w:val="699C36A9"/>
    <w:rsid w:val="69A25057"/>
    <w:rsid w:val="69B037A5"/>
    <w:rsid w:val="69B35CFD"/>
    <w:rsid w:val="69C72D2C"/>
    <w:rsid w:val="69D0342A"/>
    <w:rsid w:val="69ED20E3"/>
    <w:rsid w:val="69FE5EB5"/>
    <w:rsid w:val="69FF0DCB"/>
    <w:rsid w:val="6A03347C"/>
    <w:rsid w:val="6A0D1169"/>
    <w:rsid w:val="6A125633"/>
    <w:rsid w:val="6A2D6649"/>
    <w:rsid w:val="6A3E20CE"/>
    <w:rsid w:val="6A4401A3"/>
    <w:rsid w:val="6A4C6F44"/>
    <w:rsid w:val="6A4D3BF6"/>
    <w:rsid w:val="6A524477"/>
    <w:rsid w:val="6A591488"/>
    <w:rsid w:val="6A610A72"/>
    <w:rsid w:val="6A6E3D81"/>
    <w:rsid w:val="6A6F440C"/>
    <w:rsid w:val="6A707343"/>
    <w:rsid w:val="6A757475"/>
    <w:rsid w:val="6A7D0F31"/>
    <w:rsid w:val="6A8251B6"/>
    <w:rsid w:val="6A8D194E"/>
    <w:rsid w:val="6A902944"/>
    <w:rsid w:val="6A907FA9"/>
    <w:rsid w:val="6A942CEB"/>
    <w:rsid w:val="6A971E9C"/>
    <w:rsid w:val="6AA600E6"/>
    <w:rsid w:val="6ABF118E"/>
    <w:rsid w:val="6AC971FD"/>
    <w:rsid w:val="6AD34E9E"/>
    <w:rsid w:val="6AD84E45"/>
    <w:rsid w:val="6ADF4893"/>
    <w:rsid w:val="6AEC685F"/>
    <w:rsid w:val="6AF53A86"/>
    <w:rsid w:val="6B0E374A"/>
    <w:rsid w:val="6B176F18"/>
    <w:rsid w:val="6B287059"/>
    <w:rsid w:val="6B2D478E"/>
    <w:rsid w:val="6B303397"/>
    <w:rsid w:val="6B384D0F"/>
    <w:rsid w:val="6B443591"/>
    <w:rsid w:val="6B466F96"/>
    <w:rsid w:val="6B66281D"/>
    <w:rsid w:val="6B6704BB"/>
    <w:rsid w:val="6B6A41FA"/>
    <w:rsid w:val="6B7966D5"/>
    <w:rsid w:val="6B8E1764"/>
    <w:rsid w:val="6BA77626"/>
    <w:rsid w:val="6BB45667"/>
    <w:rsid w:val="6BBF5919"/>
    <w:rsid w:val="6BBF6EDC"/>
    <w:rsid w:val="6BC041E4"/>
    <w:rsid w:val="6BE45294"/>
    <w:rsid w:val="6BED03D0"/>
    <w:rsid w:val="6BEF1C71"/>
    <w:rsid w:val="6BF43DAE"/>
    <w:rsid w:val="6C097A45"/>
    <w:rsid w:val="6C0A1524"/>
    <w:rsid w:val="6C11334B"/>
    <w:rsid w:val="6C1E0158"/>
    <w:rsid w:val="6C210829"/>
    <w:rsid w:val="6C2434AC"/>
    <w:rsid w:val="6C2B128B"/>
    <w:rsid w:val="6C365C8D"/>
    <w:rsid w:val="6C420B3B"/>
    <w:rsid w:val="6C437AC0"/>
    <w:rsid w:val="6C481CFE"/>
    <w:rsid w:val="6C48304C"/>
    <w:rsid w:val="6C4B1A1E"/>
    <w:rsid w:val="6C50169C"/>
    <w:rsid w:val="6C6A22E7"/>
    <w:rsid w:val="6C81305D"/>
    <w:rsid w:val="6C940DE9"/>
    <w:rsid w:val="6C9F0FB7"/>
    <w:rsid w:val="6CC009AA"/>
    <w:rsid w:val="6CC50DEB"/>
    <w:rsid w:val="6CC80C31"/>
    <w:rsid w:val="6CCA4917"/>
    <w:rsid w:val="6CCC2C19"/>
    <w:rsid w:val="6CD30CCA"/>
    <w:rsid w:val="6CD90DF2"/>
    <w:rsid w:val="6CE71C7F"/>
    <w:rsid w:val="6CEC7715"/>
    <w:rsid w:val="6CEF5F0E"/>
    <w:rsid w:val="6CF60ED0"/>
    <w:rsid w:val="6CFD333D"/>
    <w:rsid w:val="6D0074C2"/>
    <w:rsid w:val="6D10385F"/>
    <w:rsid w:val="6D31301B"/>
    <w:rsid w:val="6D3E7B76"/>
    <w:rsid w:val="6D5A6549"/>
    <w:rsid w:val="6D68500A"/>
    <w:rsid w:val="6D737DC2"/>
    <w:rsid w:val="6D7954E7"/>
    <w:rsid w:val="6D836A06"/>
    <w:rsid w:val="6D9119F0"/>
    <w:rsid w:val="6D9C62AD"/>
    <w:rsid w:val="6DA938C1"/>
    <w:rsid w:val="6DC9593B"/>
    <w:rsid w:val="6DCD7847"/>
    <w:rsid w:val="6DD741E1"/>
    <w:rsid w:val="6DE44F4D"/>
    <w:rsid w:val="6DF272BB"/>
    <w:rsid w:val="6DF93781"/>
    <w:rsid w:val="6E08452B"/>
    <w:rsid w:val="6E0F0353"/>
    <w:rsid w:val="6E297482"/>
    <w:rsid w:val="6E381752"/>
    <w:rsid w:val="6E383555"/>
    <w:rsid w:val="6E3E1CB7"/>
    <w:rsid w:val="6E576405"/>
    <w:rsid w:val="6E651B7B"/>
    <w:rsid w:val="6E6A08B7"/>
    <w:rsid w:val="6E6A678B"/>
    <w:rsid w:val="6E6B6AB4"/>
    <w:rsid w:val="6E6D2DDD"/>
    <w:rsid w:val="6E8166B1"/>
    <w:rsid w:val="6E8B28A3"/>
    <w:rsid w:val="6E8C154A"/>
    <w:rsid w:val="6E8E4CE3"/>
    <w:rsid w:val="6E900A17"/>
    <w:rsid w:val="6E9C1F23"/>
    <w:rsid w:val="6EA3599A"/>
    <w:rsid w:val="6EA65556"/>
    <w:rsid w:val="6EC45AA9"/>
    <w:rsid w:val="6EC46F4D"/>
    <w:rsid w:val="6EC5031E"/>
    <w:rsid w:val="6EC722B6"/>
    <w:rsid w:val="6EC85176"/>
    <w:rsid w:val="6ECD54DE"/>
    <w:rsid w:val="6EDC11F5"/>
    <w:rsid w:val="6EE103F9"/>
    <w:rsid w:val="6EF34DE2"/>
    <w:rsid w:val="6EF37D67"/>
    <w:rsid w:val="6EF532A2"/>
    <w:rsid w:val="6EFB6EE5"/>
    <w:rsid w:val="6F0B5B21"/>
    <w:rsid w:val="6F0F2B21"/>
    <w:rsid w:val="6F170C20"/>
    <w:rsid w:val="6F316A85"/>
    <w:rsid w:val="6F460A78"/>
    <w:rsid w:val="6F54142B"/>
    <w:rsid w:val="6F585DDF"/>
    <w:rsid w:val="6F5A044B"/>
    <w:rsid w:val="6F6445EC"/>
    <w:rsid w:val="6F726A39"/>
    <w:rsid w:val="6F88469F"/>
    <w:rsid w:val="6FAC0CAC"/>
    <w:rsid w:val="6FB27392"/>
    <w:rsid w:val="6FB37E11"/>
    <w:rsid w:val="6FBB71A3"/>
    <w:rsid w:val="6FBC5B60"/>
    <w:rsid w:val="6FC74E9D"/>
    <w:rsid w:val="6FE4151B"/>
    <w:rsid w:val="6FE67327"/>
    <w:rsid w:val="702F0AEB"/>
    <w:rsid w:val="703F4F07"/>
    <w:rsid w:val="70412575"/>
    <w:rsid w:val="705714AF"/>
    <w:rsid w:val="705F5061"/>
    <w:rsid w:val="7066110D"/>
    <w:rsid w:val="7073070C"/>
    <w:rsid w:val="708A7B90"/>
    <w:rsid w:val="708D478E"/>
    <w:rsid w:val="70984952"/>
    <w:rsid w:val="70AB617E"/>
    <w:rsid w:val="70B54CE9"/>
    <w:rsid w:val="70B56B96"/>
    <w:rsid w:val="70C434FB"/>
    <w:rsid w:val="70EC71C4"/>
    <w:rsid w:val="71000C38"/>
    <w:rsid w:val="710E76B5"/>
    <w:rsid w:val="71200CC8"/>
    <w:rsid w:val="71353526"/>
    <w:rsid w:val="71354283"/>
    <w:rsid w:val="71375276"/>
    <w:rsid w:val="71565CAA"/>
    <w:rsid w:val="71642792"/>
    <w:rsid w:val="716431A3"/>
    <w:rsid w:val="7198221F"/>
    <w:rsid w:val="719B1BCA"/>
    <w:rsid w:val="71A87072"/>
    <w:rsid w:val="71B367CD"/>
    <w:rsid w:val="71B44933"/>
    <w:rsid w:val="71C1665C"/>
    <w:rsid w:val="71D37876"/>
    <w:rsid w:val="71F54E14"/>
    <w:rsid w:val="72026F0F"/>
    <w:rsid w:val="72156ADB"/>
    <w:rsid w:val="7217402A"/>
    <w:rsid w:val="721D6204"/>
    <w:rsid w:val="722A0A98"/>
    <w:rsid w:val="724B7250"/>
    <w:rsid w:val="72666441"/>
    <w:rsid w:val="726926CB"/>
    <w:rsid w:val="72723811"/>
    <w:rsid w:val="727306E6"/>
    <w:rsid w:val="72743EF1"/>
    <w:rsid w:val="72984417"/>
    <w:rsid w:val="72A22B6B"/>
    <w:rsid w:val="72A2713F"/>
    <w:rsid w:val="72AA2AD7"/>
    <w:rsid w:val="72B24706"/>
    <w:rsid w:val="72D25818"/>
    <w:rsid w:val="72DE205D"/>
    <w:rsid w:val="72DF15B6"/>
    <w:rsid w:val="72F82D34"/>
    <w:rsid w:val="73043034"/>
    <w:rsid w:val="730E6CC2"/>
    <w:rsid w:val="732A7615"/>
    <w:rsid w:val="73441629"/>
    <w:rsid w:val="734701DA"/>
    <w:rsid w:val="734D2750"/>
    <w:rsid w:val="7353097B"/>
    <w:rsid w:val="73573288"/>
    <w:rsid w:val="73640869"/>
    <w:rsid w:val="73650A6B"/>
    <w:rsid w:val="737B3B13"/>
    <w:rsid w:val="738D2AB2"/>
    <w:rsid w:val="739F6BCB"/>
    <w:rsid w:val="73BA745A"/>
    <w:rsid w:val="73BC03AD"/>
    <w:rsid w:val="73DF63BC"/>
    <w:rsid w:val="73ED23FC"/>
    <w:rsid w:val="740C7BFD"/>
    <w:rsid w:val="740F3F67"/>
    <w:rsid w:val="741523E4"/>
    <w:rsid w:val="74196555"/>
    <w:rsid w:val="74253EFB"/>
    <w:rsid w:val="742A1D4E"/>
    <w:rsid w:val="743B2B34"/>
    <w:rsid w:val="744B2BFB"/>
    <w:rsid w:val="745610CF"/>
    <w:rsid w:val="747763B3"/>
    <w:rsid w:val="747939B6"/>
    <w:rsid w:val="747E3BB8"/>
    <w:rsid w:val="747F127A"/>
    <w:rsid w:val="74804D32"/>
    <w:rsid w:val="74A451CE"/>
    <w:rsid w:val="74AC7762"/>
    <w:rsid w:val="74B510A6"/>
    <w:rsid w:val="74B743B0"/>
    <w:rsid w:val="74BE2785"/>
    <w:rsid w:val="74C44E71"/>
    <w:rsid w:val="74CE3200"/>
    <w:rsid w:val="74D66E36"/>
    <w:rsid w:val="74DD0F40"/>
    <w:rsid w:val="74E0276A"/>
    <w:rsid w:val="74E37195"/>
    <w:rsid w:val="74EA657A"/>
    <w:rsid w:val="74EE7573"/>
    <w:rsid w:val="74F1540F"/>
    <w:rsid w:val="74F63073"/>
    <w:rsid w:val="74FE108B"/>
    <w:rsid w:val="75053B5B"/>
    <w:rsid w:val="75173330"/>
    <w:rsid w:val="751B2412"/>
    <w:rsid w:val="75202C12"/>
    <w:rsid w:val="75264121"/>
    <w:rsid w:val="752E2C51"/>
    <w:rsid w:val="752F10E0"/>
    <w:rsid w:val="75352525"/>
    <w:rsid w:val="754057C3"/>
    <w:rsid w:val="75447648"/>
    <w:rsid w:val="75490306"/>
    <w:rsid w:val="75531AC1"/>
    <w:rsid w:val="75595D39"/>
    <w:rsid w:val="755B1351"/>
    <w:rsid w:val="755F32F5"/>
    <w:rsid w:val="75607F8B"/>
    <w:rsid w:val="756459A1"/>
    <w:rsid w:val="756A2D84"/>
    <w:rsid w:val="758A2D65"/>
    <w:rsid w:val="758D6548"/>
    <w:rsid w:val="75910793"/>
    <w:rsid w:val="759735ED"/>
    <w:rsid w:val="75A81275"/>
    <w:rsid w:val="75BF27C6"/>
    <w:rsid w:val="75D21D26"/>
    <w:rsid w:val="75DD1FA2"/>
    <w:rsid w:val="75EB6A66"/>
    <w:rsid w:val="75EE4B95"/>
    <w:rsid w:val="75EF6DCC"/>
    <w:rsid w:val="760D05CC"/>
    <w:rsid w:val="762F3F53"/>
    <w:rsid w:val="762F44DE"/>
    <w:rsid w:val="76384714"/>
    <w:rsid w:val="76467B8E"/>
    <w:rsid w:val="76577DF8"/>
    <w:rsid w:val="765A14EB"/>
    <w:rsid w:val="76692934"/>
    <w:rsid w:val="76781084"/>
    <w:rsid w:val="768C2850"/>
    <w:rsid w:val="769A557D"/>
    <w:rsid w:val="769A568B"/>
    <w:rsid w:val="769E0DA8"/>
    <w:rsid w:val="76A52F20"/>
    <w:rsid w:val="76BC10BA"/>
    <w:rsid w:val="76CA59B7"/>
    <w:rsid w:val="770A70C9"/>
    <w:rsid w:val="77171345"/>
    <w:rsid w:val="771B1130"/>
    <w:rsid w:val="771C23D5"/>
    <w:rsid w:val="772266F6"/>
    <w:rsid w:val="77324547"/>
    <w:rsid w:val="773A4263"/>
    <w:rsid w:val="77430C5C"/>
    <w:rsid w:val="77491DE0"/>
    <w:rsid w:val="775E246B"/>
    <w:rsid w:val="7763128E"/>
    <w:rsid w:val="77680F5C"/>
    <w:rsid w:val="77897AEB"/>
    <w:rsid w:val="778B55B2"/>
    <w:rsid w:val="779916D5"/>
    <w:rsid w:val="779A622C"/>
    <w:rsid w:val="779D015E"/>
    <w:rsid w:val="77AB19F4"/>
    <w:rsid w:val="77B4622A"/>
    <w:rsid w:val="77BD747F"/>
    <w:rsid w:val="77C474C4"/>
    <w:rsid w:val="77C54214"/>
    <w:rsid w:val="77E37FA3"/>
    <w:rsid w:val="77E97738"/>
    <w:rsid w:val="77FA3EA8"/>
    <w:rsid w:val="77FF25A7"/>
    <w:rsid w:val="780920CC"/>
    <w:rsid w:val="78181E9E"/>
    <w:rsid w:val="78257B20"/>
    <w:rsid w:val="783C595B"/>
    <w:rsid w:val="785143B5"/>
    <w:rsid w:val="785240FF"/>
    <w:rsid w:val="78597A7D"/>
    <w:rsid w:val="785B444C"/>
    <w:rsid w:val="78660934"/>
    <w:rsid w:val="787644AE"/>
    <w:rsid w:val="78775809"/>
    <w:rsid w:val="787E5CC3"/>
    <w:rsid w:val="78810094"/>
    <w:rsid w:val="78852DF3"/>
    <w:rsid w:val="789159E7"/>
    <w:rsid w:val="78AA0360"/>
    <w:rsid w:val="78B150CE"/>
    <w:rsid w:val="78C1278B"/>
    <w:rsid w:val="78D23334"/>
    <w:rsid w:val="78E223B0"/>
    <w:rsid w:val="78F30157"/>
    <w:rsid w:val="79056442"/>
    <w:rsid w:val="790A663F"/>
    <w:rsid w:val="79165C0B"/>
    <w:rsid w:val="793B11B7"/>
    <w:rsid w:val="793D73EF"/>
    <w:rsid w:val="79495B41"/>
    <w:rsid w:val="79646D8C"/>
    <w:rsid w:val="796932C9"/>
    <w:rsid w:val="796B69C3"/>
    <w:rsid w:val="79887621"/>
    <w:rsid w:val="799733A5"/>
    <w:rsid w:val="79A11433"/>
    <w:rsid w:val="79A627E7"/>
    <w:rsid w:val="79A63308"/>
    <w:rsid w:val="79A63ED5"/>
    <w:rsid w:val="79A708B7"/>
    <w:rsid w:val="79B86E13"/>
    <w:rsid w:val="79BB0616"/>
    <w:rsid w:val="79BC4CD4"/>
    <w:rsid w:val="79C04BDF"/>
    <w:rsid w:val="79D52EB8"/>
    <w:rsid w:val="79D64632"/>
    <w:rsid w:val="79DB2944"/>
    <w:rsid w:val="79DB7B36"/>
    <w:rsid w:val="79E40E3E"/>
    <w:rsid w:val="79EB5B75"/>
    <w:rsid w:val="7A0D320B"/>
    <w:rsid w:val="7A0D7D1A"/>
    <w:rsid w:val="7A122DAE"/>
    <w:rsid w:val="7A312ED2"/>
    <w:rsid w:val="7A354A01"/>
    <w:rsid w:val="7A393068"/>
    <w:rsid w:val="7A5909A6"/>
    <w:rsid w:val="7A653898"/>
    <w:rsid w:val="7A705F52"/>
    <w:rsid w:val="7A752831"/>
    <w:rsid w:val="7A7F0E1B"/>
    <w:rsid w:val="7A853D19"/>
    <w:rsid w:val="7A8D1486"/>
    <w:rsid w:val="7A900177"/>
    <w:rsid w:val="7A965BE9"/>
    <w:rsid w:val="7A9F76E5"/>
    <w:rsid w:val="7AB17D28"/>
    <w:rsid w:val="7AB33D29"/>
    <w:rsid w:val="7ABB6376"/>
    <w:rsid w:val="7ABC0B6B"/>
    <w:rsid w:val="7AC63D0D"/>
    <w:rsid w:val="7AE67B27"/>
    <w:rsid w:val="7AE8532F"/>
    <w:rsid w:val="7AEC0F4D"/>
    <w:rsid w:val="7AEE1478"/>
    <w:rsid w:val="7B0750FF"/>
    <w:rsid w:val="7B094D4B"/>
    <w:rsid w:val="7B095694"/>
    <w:rsid w:val="7B237521"/>
    <w:rsid w:val="7B2578D4"/>
    <w:rsid w:val="7B2F4473"/>
    <w:rsid w:val="7B3B7DFB"/>
    <w:rsid w:val="7B457399"/>
    <w:rsid w:val="7B4B6360"/>
    <w:rsid w:val="7B5967D0"/>
    <w:rsid w:val="7B6427F8"/>
    <w:rsid w:val="7B76125B"/>
    <w:rsid w:val="7B7C77B6"/>
    <w:rsid w:val="7B8A4258"/>
    <w:rsid w:val="7B8F6FE0"/>
    <w:rsid w:val="7B9431A5"/>
    <w:rsid w:val="7BA06C5D"/>
    <w:rsid w:val="7BAB1BB8"/>
    <w:rsid w:val="7BC265B9"/>
    <w:rsid w:val="7BCE2189"/>
    <w:rsid w:val="7BCF318B"/>
    <w:rsid w:val="7BD2462A"/>
    <w:rsid w:val="7BEE25A1"/>
    <w:rsid w:val="7BF15CC6"/>
    <w:rsid w:val="7BFC3455"/>
    <w:rsid w:val="7C325DEB"/>
    <w:rsid w:val="7C420622"/>
    <w:rsid w:val="7C50265B"/>
    <w:rsid w:val="7C562FB7"/>
    <w:rsid w:val="7C5709BF"/>
    <w:rsid w:val="7C6B62FB"/>
    <w:rsid w:val="7C6F2D13"/>
    <w:rsid w:val="7C701A52"/>
    <w:rsid w:val="7C786A27"/>
    <w:rsid w:val="7C817A61"/>
    <w:rsid w:val="7CA92A41"/>
    <w:rsid w:val="7CAB6A60"/>
    <w:rsid w:val="7CAC15ED"/>
    <w:rsid w:val="7CD06BC7"/>
    <w:rsid w:val="7CD7139B"/>
    <w:rsid w:val="7CDB047A"/>
    <w:rsid w:val="7CF25547"/>
    <w:rsid w:val="7CF36E42"/>
    <w:rsid w:val="7CFA2E06"/>
    <w:rsid w:val="7D0A3A9E"/>
    <w:rsid w:val="7D135690"/>
    <w:rsid w:val="7D175B84"/>
    <w:rsid w:val="7D275F85"/>
    <w:rsid w:val="7D2A0D82"/>
    <w:rsid w:val="7D2A1463"/>
    <w:rsid w:val="7D335E9D"/>
    <w:rsid w:val="7D367A93"/>
    <w:rsid w:val="7D3A2C2F"/>
    <w:rsid w:val="7D42542A"/>
    <w:rsid w:val="7D464285"/>
    <w:rsid w:val="7D464816"/>
    <w:rsid w:val="7D472330"/>
    <w:rsid w:val="7D53467F"/>
    <w:rsid w:val="7D5629C9"/>
    <w:rsid w:val="7D5639E6"/>
    <w:rsid w:val="7D5D076E"/>
    <w:rsid w:val="7D6236F7"/>
    <w:rsid w:val="7D6D1A1C"/>
    <w:rsid w:val="7D731384"/>
    <w:rsid w:val="7D785604"/>
    <w:rsid w:val="7D7F6775"/>
    <w:rsid w:val="7D822542"/>
    <w:rsid w:val="7D865190"/>
    <w:rsid w:val="7D8841E3"/>
    <w:rsid w:val="7D984B7B"/>
    <w:rsid w:val="7DA30753"/>
    <w:rsid w:val="7DB067FA"/>
    <w:rsid w:val="7DBB4225"/>
    <w:rsid w:val="7DD150C8"/>
    <w:rsid w:val="7DD70BD3"/>
    <w:rsid w:val="7DE66F18"/>
    <w:rsid w:val="7DED7354"/>
    <w:rsid w:val="7DF1722D"/>
    <w:rsid w:val="7E067EDC"/>
    <w:rsid w:val="7E0C47CB"/>
    <w:rsid w:val="7E0D37CF"/>
    <w:rsid w:val="7E103726"/>
    <w:rsid w:val="7E1171C4"/>
    <w:rsid w:val="7E1A2665"/>
    <w:rsid w:val="7E220DBA"/>
    <w:rsid w:val="7E2F19F7"/>
    <w:rsid w:val="7E6334F1"/>
    <w:rsid w:val="7E781014"/>
    <w:rsid w:val="7E8B0DFA"/>
    <w:rsid w:val="7E9B31CC"/>
    <w:rsid w:val="7EA85BF5"/>
    <w:rsid w:val="7EAE77A1"/>
    <w:rsid w:val="7EB26512"/>
    <w:rsid w:val="7EB341EE"/>
    <w:rsid w:val="7EC6458D"/>
    <w:rsid w:val="7EC92B97"/>
    <w:rsid w:val="7ED32578"/>
    <w:rsid w:val="7ED5117B"/>
    <w:rsid w:val="7ED52401"/>
    <w:rsid w:val="7EED06B0"/>
    <w:rsid w:val="7F01010B"/>
    <w:rsid w:val="7F112F00"/>
    <w:rsid w:val="7F13686B"/>
    <w:rsid w:val="7F1C0663"/>
    <w:rsid w:val="7F2437E1"/>
    <w:rsid w:val="7F3A0B3D"/>
    <w:rsid w:val="7F4A12B3"/>
    <w:rsid w:val="7F5C75F1"/>
    <w:rsid w:val="7F6977AB"/>
    <w:rsid w:val="7F7E5A2A"/>
    <w:rsid w:val="7FB81C9C"/>
    <w:rsid w:val="7FDD5B41"/>
    <w:rsid w:val="7FEC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qFormat="1" w:unhideWhenUsed="0" w:uiPriority="0" w:semiHidden="0"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1"/>
    <w:next w:val="1"/>
    <w:qFormat/>
    <w:uiPriority w:val="0"/>
    <w:pPr>
      <w:spacing w:before="180"/>
      <w:outlineLvl w:val="1"/>
    </w:pPr>
    <w:rPr>
      <w:sz w:val="32"/>
    </w:rPr>
  </w:style>
  <w:style w:type="paragraph" w:styleId="4">
    <w:name w:val="heading 3"/>
    <w:basedOn w:val="1"/>
    <w:next w:val="1"/>
    <w:qFormat/>
    <w:uiPriority w:val="0"/>
    <w:pPr>
      <w:spacing w:before="120" w:line="260" w:lineRule="auto"/>
      <w:ind w:left="720"/>
      <w:outlineLvl w:val="2"/>
    </w:pPr>
    <w:rPr>
      <w:rFonts w:ascii="Arial" w:hAnsi="Arial"/>
      <w:sz w:val="28"/>
    </w:rPr>
  </w:style>
  <w:style w:type="paragraph" w:styleId="5">
    <w:name w:val="heading 4"/>
    <w:basedOn w:val="4"/>
    <w:next w:val="1"/>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7">
    <w:name w:val="Default Paragraph Font"/>
    <w:semiHidden/>
    <w:unhideWhenUsed/>
    <w:qFormat/>
    <w:uiPriority w:val="1"/>
  </w:style>
  <w:style w:type="table" w:default="1" w:styleId="4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annotation subject"/>
    <w:basedOn w:val="13"/>
    <w:next w:val="13"/>
    <w:qFormat/>
    <w:uiPriority w:val="0"/>
    <w:rPr>
      <w:b/>
      <w:bCs/>
    </w:rPr>
  </w:style>
  <w:style w:type="paragraph" w:styleId="13">
    <w:name w:val="annotation text"/>
    <w:basedOn w:val="1"/>
    <w:link w:val="112"/>
    <w:qFormat/>
    <w:uiPriority w:val="99"/>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1">
    <w:name w:val="Normal Indent"/>
    <w:basedOn w:val="1"/>
    <w:unhideWhenUsed/>
    <w:qFormat/>
    <w:uiPriority w:val="99"/>
    <w:pPr>
      <w:ind w:firstLine="420" w:firstLineChars="200"/>
    </w:pPr>
  </w:style>
  <w:style w:type="paragraph" w:styleId="22">
    <w:name w:val="caption"/>
    <w:basedOn w:val="1"/>
    <w:next w:val="1"/>
    <w:link w:val="113"/>
    <w:unhideWhenUsed/>
    <w:qFormat/>
    <w:uiPriority w:val="99"/>
    <w:rPr>
      <w:b/>
      <w:bCs/>
    </w:rPr>
  </w:style>
  <w:style w:type="paragraph" w:styleId="23">
    <w:name w:val="Document Map"/>
    <w:basedOn w:val="1"/>
    <w:semiHidden/>
    <w:qFormat/>
    <w:uiPriority w:val="0"/>
    <w:rPr>
      <w:rFonts w:ascii="Tahoma" w:hAnsi="Tahoma" w:cs="Tahoma"/>
      <w:sz w:val="16"/>
      <w:szCs w:val="16"/>
    </w:rPr>
  </w:style>
  <w:style w:type="paragraph" w:styleId="24">
    <w:name w:val="Body Text"/>
    <w:basedOn w:val="1"/>
    <w:link w:val="97"/>
    <w:semiHidden/>
    <w:qFormat/>
    <w:uiPriority w:val="0"/>
    <w:pPr>
      <w:spacing w:after="120"/>
    </w:pPr>
  </w:style>
  <w:style w:type="paragraph" w:styleId="25">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6">
    <w:name w:val="toc 8"/>
    <w:basedOn w:val="20"/>
    <w:next w:val="1"/>
    <w:semiHidden/>
    <w:qFormat/>
    <w:uiPriority w:val="0"/>
    <w:pPr>
      <w:spacing w:before="180"/>
      <w:ind w:left="2693" w:hanging="2693"/>
    </w:pPr>
    <w:rPr>
      <w:b/>
    </w:rPr>
  </w:style>
  <w:style w:type="paragraph" w:styleId="27">
    <w:name w:val="Balloon Text"/>
    <w:basedOn w:val="1"/>
    <w:qFormat/>
    <w:uiPriority w:val="0"/>
    <w:pPr>
      <w:spacing w:after="0"/>
    </w:pPr>
    <w:rPr>
      <w:rFonts w:ascii="Tahoma" w:hAnsi="Tahoma" w:cs="Tahoma"/>
      <w:sz w:val="16"/>
      <w:szCs w:val="16"/>
    </w:rPr>
  </w:style>
  <w:style w:type="paragraph" w:styleId="28">
    <w:name w:val="footer"/>
    <w:basedOn w:val="29"/>
    <w:semiHidden/>
    <w:qFormat/>
    <w:uiPriority w:val="0"/>
    <w:pPr>
      <w:tabs>
        <w:tab w:val="center" w:pos="4153"/>
        <w:tab w:val="right" w:pos="8306"/>
      </w:tabs>
    </w:pPr>
  </w:style>
  <w:style w:type="paragraph" w:styleId="29">
    <w:name w:val="header"/>
    <w:basedOn w:val="1"/>
    <w:semiHidden/>
    <w:qFormat/>
    <w:uiPriority w:val="0"/>
    <w:pPr>
      <w:tabs>
        <w:tab w:val="center" w:pos="4153"/>
        <w:tab w:val="right" w:pos="8306"/>
      </w:tabs>
    </w:pPr>
  </w:style>
  <w:style w:type="paragraph" w:styleId="30">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1">
    <w:name w:val="table of figures"/>
    <w:basedOn w:val="1"/>
    <w:next w:val="1"/>
    <w:unhideWhenUsed/>
    <w:qFormat/>
    <w:uiPriority w:val="99"/>
    <w:pPr>
      <w:spacing w:after="0"/>
    </w:pPr>
  </w:style>
  <w:style w:type="paragraph" w:styleId="32">
    <w:name w:val="toc 9"/>
    <w:basedOn w:val="26"/>
    <w:next w:val="1"/>
    <w:semiHidden/>
    <w:qFormat/>
    <w:uiPriority w:val="0"/>
    <w:pPr>
      <w:ind w:left="1418" w:hanging="1418"/>
    </w:pPr>
  </w:style>
  <w:style w:type="paragraph" w:styleId="33">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sz w:val="24"/>
      <w:szCs w:val="24"/>
      <w:lang w:val="en-US" w:eastAsia="zh-CN"/>
    </w:rPr>
  </w:style>
  <w:style w:type="paragraph" w:styleId="34">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5">
    <w:name w:val="index 1"/>
    <w:basedOn w:val="1"/>
    <w:next w:val="1"/>
    <w:semiHidden/>
    <w:qFormat/>
    <w:uiPriority w:val="0"/>
    <w:pPr>
      <w:ind w:left="200" w:hanging="200"/>
    </w:pPr>
  </w:style>
  <w:style w:type="paragraph" w:styleId="36">
    <w:name w:val="Title"/>
    <w:basedOn w:val="1"/>
    <w:link w:val="98"/>
    <w:qFormat/>
    <w:uiPriority w:val="0"/>
    <w:pPr>
      <w:spacing w:after="120"/>
      <w:jc w:val="center"/>
    </w:pPr>
    <w:rPr>
      <w:rFonts w:ascii="Arial" w:hAnsi="Arial" w:eastAsia="MS Mincho"/>
      <w:b/>
      <w:color w:val="auto"/>
      <w:sz w:val="24"/>
      <w:lang w:val="de-DE" w:eastAsia="en-US"/>
    </w:rPr>
  </w:style>
  <w:style w:type="character" w:styleId="38">
    <w:name w:val="page number"/>
    <w:basedOn w:val="37"/>
    <w:semiHidden/>
    <w:qFormat/>
    <w:uiPriority w:val="0"/>
  </w:style>
  <w:style w:type="character" w:styleId="39">
    <w:name w:val="Hyperlink"/>
    <w:qFormat/>
    <w:uiPriority w:val="99"/>
    <w:rPr>
      <w:color w:val="0000FF"/>
      <w:u w:val="single"/>
    </w:rPr>
  </w:style>
  <w:style w:type="character" w:styleId="40">
    <w:name w:val="annotation reference"/>
    <w:semiHidden/>
    <w:qFormat/>
    <w:uiPriority w:val="99"/>
    <w:rPr>
      <w:sz w:val="16"/>
      <w:szCs w:val="16"/>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3">
    <w:name w:val="Table Classic 3"/>
    <w:basedOn w:val="41"/>
    <w:qFormat/>
    <w:uiPriority w:val="0"/>
    <w:pPr>
      <w:spacing w:before="240"/>
      <w:jc w:val="both"/>
    </w:pPr>
    <w:rPr>
      <w:rFonts w:eastAsia="Times New Roman"/>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6">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0"/>
    <w:qFormat/>
    <w:uiPriority w:val="0"/>
    <w:rPr>
      <w:b/>
    </w:rPr>
  </w:style>
  <w:style w:type="paragraph" w:customStyle="1" w:styleId="52">
    <w:name w:val="TAC"/>
    <w:basedOn w:val="53"/>
    <w:link w:val="96"/>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AJ"/>
    <w:basedOn w:val="1"/>
    <w:qFormat/>
    <w:uiPriority w:val="0"/>
    <w:pPr>
      <w:keepNext/>
      <w:keepLines/>
      <w:textAlignment w:val="baseline"/>
    </w:pPr>
    <w:rPr>
      <w:rFonts w:eastAsia="Times New Roman"/>
      <w:lang w:eastAsia="en-US"/>
    </w:rPr>
  </w:style>
  <w:style w:type="paragraph" w:customStyle="1" w:styleId="55">
    <w:name w:val="NO"/>
    <w:basedOn w:val="1"/>
    <w:qFormat/>
    <w:uiPriority w:val="0"/>
    <w:pPr>
      <w:keepLines/>
      <w:ind w:left="1135" w:hanging="851"/>
      <w:textAlignment w:val="baseline"/>
    </w:pPr>
    <w:rPr>
      <w:rFonts w:eastAsia="Times New Roman"/>
    </w:rPr>
  </w:style>
  <w:style w:type="paragraph" w:customStyle="1" w:styleId="56">
    <w:name w:val="HO"/>
    <w:basedOn w:val="1"/>
    <w:qFormat/>
    <w:uiPriority w:val="0"/>
    <w:pPr>
      <w:jc w:val="right"/>
      <w:textAlignment w:val="baseline"/>
    </w:pPr>
    <w:rPr>
      <w:rFonts w:eastAsia="Times New Roman"/>
      <w:b/>
      <w:lang w:eastAsia="en-US"/>
    </w:rPr>
  </w:style>
  <w:style w:type="paragraph" w:customStyle="1" w:styleId="57">
    <w:name w:val="HE"/>
    <w:basedOn w:val="1"/>
    <w:qFormat/>
    <w:uiPriority w:val="0"/>
    <w:pPr>
      <w:textAlignment w:val="baseline"/>
    </w:pPr>
    <w:rPr>
      <w:rFonts w:eastAsia="Times New Roman"/>
      <w:b/>
      <w:lang w:eastAsia="en-US"/>
    </w:rPr>
  </w:style>
  <w:style w:type="paragraph" w:customStyle="1" w:styleId="58">
    <w:name w:val="EX"/>
    <w:basedOn w:val="1"/>
    <w:qFormat/>
    <w:uiPriority w:val="0"/>
    <w:pPr>
      <w:keepLines/>
      <w:ind w:left="1702" w:hanging="1418"/>
      <w:textAlignment w:val="baseline"/>
    </w:pPr>
    <w:rPr>
      <w:rFonts w:eastAsia="Times New Roman"/>
    </w:rPr>
  </w:style>
  <w:style w:type="paragraph" w:customStyle="1" w:styleId="59">
    <w:name w:val="FP"/>
    <w:basedOn w:val="1"/>
    <w:qFormat/>
    <w:uiPriority w:val="0"/>
    <w:pPr>
      <w:spacing w:after="0"/>
      <w:textAlignment w:val="baseline"/>
    </w:pPr>
    <w:rPr>
      <w:rFonts w:eastAsia="Times New Roman"/>
    </w:rPr>
  </w:style>
  <w:style w:type="paragraph" w:customStyle="1" w:styleId="60">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61">
    <w:name w:val="NW"/>
    <w:basedOn w:val="55"/>
    <w:qFormat/>
    <w:uiPriority w:val="0"/>
    <w:pPr>
      <w:spacing w:after="0"/>
    </w:pPr>
  </w:style>
  <w:style w:type="paragraph" w:customStyle="1" w:styleId="62">
    <w:name w:val="EW"/>
    <w:basedOn w:val="58"/>
    <w:qFormat/>
    <w:uiPriority w:val="0"/>
    <w:pPr>
      <w:spacing w:after="0"/>
    </w:pPr>
  </w:style>
  <w:style w:type="paragraph" w:customStyle="1" w:styleId="63">
    <w:name w:val="B2"/>
    <w:basedOn w:val="1"/>
    <w:qFormat/>
    <w:uiPriority w:val="0"/>
    <w:pPr>
      <w:ind w:left="851" w:hanging="284"/>
    </w:pPr>
  </w:style>
  <w:style w:type="paragraph" w:customStyle="1" w:styleId="64">
    <w:name w:val="B1"/>
    <w:basedOn w:val="1"/>
    <w:qFormat/>
    <w:uiPriority w:val="0"/>
    <w:pPr>
      <w:ind w:left="568"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EQ"/>
    <w:basedOn w:val="1"/>
    <w:next w:val="1"/>
    <w:qFormat/>
    <w:uiPriority w:val="0"/>
    <w:pPr>
      <w:keepLines/>
      <w:tabs>
        <w:tab w:val="center" w:pos="4536"/>
        <w:tab w:val="right" w:pos="9072"/>
      </w:tabs>
      <w:textAlignment w:val="baseline"/>
    </w:pPr>
    <w:rPr>
      <w:rFonts w:eastAsia="Times New Roman"/>
    </w:rPr>
  </w:style>
  <w:style w:type="paragraph" w:customStyle="1" w:styleId="69">
    <w:name w:val="TH"/>
    <w:basedOn w:val="1"/>
    <w:link w:val="101"/>
    <w:qFormat/>
    <w:uiPriority w:val="0"/>
    <w:pPr>
      <w:keepNext/>
      <w:keepLines/>
      <w:spacing w:before="60"/>
      <w:jc w:val="center"/>
    </w:pPr>
    <w:rPr>
      <w:rFonts w:ascii="Arial" w:hAnsi="Arial"/>
      <w:b/>
    </w:rPr>
  </w:style>
  <w:style w:type="paragraph" w:customStyle="1" w:styleId="70">
    <w:name w:val="TF"/>
    <w:basedOn w:val="69"/>
    <w:qFormat/>
    <w:uiPriority w:val="0"/>
    <w:pPr>
      <w:keepNext w:val="0"/>
      <w:spacing w:before="0" w:after="240"/>
    </w:pPr>
  </w:style>
  <w:style w:type="paragraph" w:customStyle="1" w:styleId="71">
    <w:name w:val="NF"/>
    <w:basedOn w:val="5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character" w:customStyle="1" w:styleId="75">
    <w:name w:val="ZGSM"/>
    <w:qFormat/>
    <w:uiPriority w:val="0"/>
  </w:style>
  <w:style w:type="paragraph" w:customStyle="1" w:styleId="76">
    <w:name w:val="AP"/>
    <w:basedOn w:val="1"/>
    <w:qFormat/>
    <w:uiPriority w:val="0"/>
    <w:pPr>
      <w:ind w:left="2127" w:hanging="2127"/>
    </w:pPr>
    <w:rPr>
      <w:b/>
      <w:color w:val="FF0000"/>
    </w:rPr>
  </w:style>
  <w:style w:type="paragraph" w:customStyle="1" w:styleId="77">
    <w:name w:val="Editor's Note"/>
    <w:basedOn w:val="55"/>
    <w:qFormat/>
    <w:uiPriority w:val="0"/>
    <w:rPr>
      <w:color w:val="FF0000"/>
    </w:rPr>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8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81">
    <w:name w:val="ZTD"/>
    <w:basedOn w:val="45"/>
    <w:qFormat/>
    <w:uiPriority w:val="0"/>
    <w:pPr>
      <w:framePr w:hRule="auto" w:y="852"/>
    </w:pPr>
    <w:rPr>
      <w:i w:val="0"/>
      <w:sz w:val="40"/>
    </w:rPr>
  </w:style>
  <w:style w:type="paragraph" w:customStyle="1" w:styleId="82">
    <w:name w:val="ZV"/>
    <w:basedOn w:val="49"/>
    <w:qFormat/>
    <w:uiPriority w:val="0"/>
    <w:pPr>
      <w:framePr w:y="16161"/>
    </w:pPr>
  </w:style>
  <w:style w:type="character" w:customStyle="1" w:styleId="83">
    <w:name w:val="Char Char5"/>
    <w:qFormat/>
    <w:uiPriority w:val="0"/>
    <w:rPr>
      <w:rFonts w:ascii="Tahoma" w:hAnsi="Tahoma" w:cs="Tahoma"/>
      <w:color w:val="000000"/>
      <w:sz w:val="16"/>
      <w:szCs w:val="16"/>
      <w:lang w:val="en-GB" w:eastAsia="ja-JP"/>
    </w:rPr>
  </w:style>
  <w:style w:type="character" w:customStyle="1" w:styleId="84">
    <w:name w:val="H2 Char"/>
    <w:qFormat/>
    <w:uiPriority w:val="0"/>
    <w:rPr>
      <w:rFonts w:ascii="Arial" w:hAnsi="Arial"/>
      <w:sz w:val="32"/>
      <w:lang w:val="en-GB" w:eastAsia="ja-JP"/>
    </w:rPr>
  </w:style>
  <w:style w:type="character" w:customStyle="1" w:styleId="85">
    <w:name w:val="B1 Char"/>
    <w:qFormat/>
    <w:uiPriority w:val="0"/>
    <w:rPr>
      <w:color w:val="000000"/>
      <w:lang w:val="en-GB" w:eastAsia="ja-JP"/>
    </w:rPr>
  </w:style>
  <w:style w:type="character" w:customStyle="1" w:styleId="86">
    <w:name w:val="Char Char4"/>
    <w:qFormat/>
    <w:uiPriority w:val="0"/>
    <w:rPr>
      <w:rFonts w:ascii="Tahoma" w:hAnsi="Tahoma" w:cs="Tahoma"/>
      <w:color w:val="000000"/>
      <w:sz w:val="16"/>
      <w:szCs w:val="16"/>
      <w:lang w:val="en-GB" w:eastAsia="ja-JP"/>
    </w:rPr>
  </w:style>
  <w:style w:type="character" w:customStyle="1" w:styleId="87">
    <w:name w:val="Char Char3"/>
    <w:qFormat/>
    <w:uiPriority w:val="0"/>
    <w:rPr>
      <w:rFonts w:ascii="Courier New" w:hAnsi="Courier New"/>
      <w:lang w:val="nb-NO"/>
    </w:rPr>
  </w:style>
  <w:style w:type="character" w:customStyle="1" w:styleId="88">
    <w:name w:val="NO Zchn"/>
    <w:qFormat/>
    <w:uiPriority w:val="0"/>
    <w:rPr>
      <w:color w:val="000000"/>
      <w:lang w:val="en-GB" w:eastAsia="ja-JP"/>
    </w:rPr>
  </w:style>
  <w:style w:type="character" w:customStyle="1" w:styleId="89">
    <w:name w:val="Editor's Note Char"/>
    <w:qFormat/>
    <w:uiPriority w:val="0"/>
    <w:rPr>
      <w:color w:val="FF0000"/>
      <w:lang w:val="en-GB" w:eastAsia="ja-JP"/>
    </w:rPr>
  </w:style>
  <w:style w:type="paragraph" w:customStyle="1" w:styleId="90">
    <w:name w:val="Clear formatting"/>
    <w:basedOn w:val="1"/>
    <w:qFormat/>
    <w:uiPriority w:val="0"/>
    <w:rPr>
      <w:b/>
      <w:lang w:val="en-US"/>
    </w:rPr>
  </w:style>
  <w:style w:type="paragraph" w:customStyle="1" w:styleId="91">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2">
    <w:name w:val="Char Char2"/>
    <w:qFormat/>
    <w:uiPriority w:val="0"/>
    <w:rPr>
      <w:color w:val="000000"/>
      <w:lang w:val="en-GB" w:eastAsia="ja-JP"/>
    </w:rPr>
  </w:style>
  <w:style w:type="character" w:customStyle="1" w:styleId="93">
    <w:name w:val="Char Char1"/>
    <w:qFormat/>
    <w:uiPriority w:val="0"/>
    <w:rPr>
      <w:b/>
      <w:bCs/>
      <w:color w:val="000000"/>
      <w:lang w:val="en-GB" w:eastAsia="ja-JP"/>
    </w:rPr>
  </w:style>
  <w:style w:type="character" w:customStyle="1" w:styleId="94">
    <w:name w:val="TAL Char"/>
    <w:link w:val="53"/>
    <w:qFormat/>
    <w:uiPriority w:val="0"/>
    <w:rPr>
      <w:rFonts w:ascii="Arial" w:hAnsi="Arial"/>
      <w:color w:val="000000"/>
      <w:sz w:val="18"/>
      <w:lang w:val="en-GB" w:eastAsia="ja-JP"/>
    </w:rPr>
  </w:style>
  <w:style w:type="character" w:customStyle="1" w:styleId="95">
    <w:name w:val="Char Char"/>
    <w:qFormat/>
    <w:uiPriority w:val="0"/>
    <w:rPr>
      <w:color w:val="000000"/>
      <w:lang w:val="en-GB" w:eastAsia="ja-JP"/>
    </w:rPr>
  </w:style>
  <w:style w:type="character" w:customStyle="1" w:styleId="96">
    <w:name w:val="TAC Char"/>
    <w:link w:val="52"/>
    <w:qFormat/>
    <w:locked/>
    <w:uiPriority w:val="0"/>
  </w:style>
  <w:style w:type="character" w:customStyle="1" w:styleId="97">
    <w:name w:val="Body Text Char"/>
    <w:link w:val="24"/>
    <w:semiHidden/>
    <w:qFormat/>
    <w:uiPriority w:val="0"/>
    <w:rPr>
      <w:color w:val="000000"/>
      <w:lang w:val="en-GB" w:eastAsia="ja-JP"/>
    </w:rPr>
  </w:style>
  <w:style w:type="character" w:customStyle="1" w:styleId="98">
    <w:name w:val="Title Char"/>
    <w:link w:val="36"/>
    <w:qFormat/>
    <w:uiPriority w:val="0"/>
    <w:rPr>
      <w:rFonts w:ascii="Arial" w:hAnsi="Arial" w:eastAsia="MS Mincho"/>
      <w:b/>
      <w:sz w:val="24"/>
      <w:lang w:val="de-DE"/>
    </w:rPr>
  </w:style>
  <w:style w:type="paragraph" w:customStyle="1" w:styleId="99">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100">
    <w:name w:val="TAH Car"/>
    <w:link w:val="51"/>
    <w:qFormat/>
    <w:locked/>
    <w:uiPriority w:val="0"/>
    <w:rPr>
      <w:rFonts w:ascii="Arial" w:hAnsi="Arial"/>
      <w:b/>
      <w:color w:val="000000"/>
      <w:sz w:val="18"/>
      <w:lang w:val="en-GB" w:eastAsia="ja-JP"/>
    </w:rPr>
  </w:style>
  <w:style w:type="character" w:customStyle="1" w:styleId="101">
    <w:name w:val="TH Char"/>
    <w:link w:val="69"/>
    <w:qFormat/>
    <w:uiPriority w:val="0"/>
    <w:rPr>
      <w:rFonts w:ascii="Arial" w:hAnsi="Arial"/>
      <w:b/>
      <w:color w:val="000000"/>
      <w:lang w:val="en-GB" w:eastAsia="ja-JP"/>
    </w:rPr>
  </w:style>
  <w:style w:type="paragraph" w:customStyle="1" w:styleId="102">
    <w:name w:val="List Paragraph1"/>
    <w:basedOn w:val="1"/>
    <w:link w:val="103"/>
    <w:qFormat/>
    <w:uiPriority w:val="34"/>
    <w:pPr>
      <w:ind w:firstLine="420" w:firstLineChars="200"/>
      <w:textAlignment w:val="baseline"/>
    </w:pPr>
    <w:rPr>
      <w:rFonts w:eastAsia="Times New Roman"/>
      <w:color w:val="auto"/>
      <w:lang w:eastAsia="en-US"/>
    </w:rPr>
  </w:style>
  <w:style w:type="character" w:customStyle="1" w:styleId="103">
    <w:name w:val="List Paragraph Char"/>
    <w:link w:val="102"/>
    <w:qFormat/>
    <w:locked/>
    <w:uiPriority w:val="34"/>
    <w:rPr>
      <w:rFonts w:eastAsia="Times New Roman"/>
      <w:lang w:val="en-GB" w:eastAsia="en-US"/>
    </w:rPr>
  </w:style>
  <w:style w:type="paragraph" w:customStyle="1" w:styleId="104">
    <w:name w:val="Doc-text2"/>
    <w:basedOn w:val="1"/>
    <w:link w:val="105"/>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5">
    <w:name w:val="Doc-text2 Char"/>
    <w:link w:val="104"/>
    <w:qFormat/>
    <w:uiPriority w:val="0"/>
    <w:rPr>
      <w:rFonts w:ascii="Arial" w:hAnsi="Arial" w:eastAsia="MS Mincho"/>
      <w:szCs w:val="24"/>
      <w:lang w:val="en-GB" w:eastAsia="en-GB"/>
    </w:rPr>
  </w:style>
  <w:style w:type="paragraph" w:customStyle="1" w:styleId="106">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7">
    <w:name w:val="Normal with indent"/>
    <w:basedOn w:val="1"/>
    <w:link w:val="108"/>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08">
    <w:name w:val="Normal with indent Char"/>
    <w:link w:val="107"/>
    <w:qFormat/>
    <w:uiPriority w:val="0"/>
    <w:rPr>
      <w:rFonts w:eastAsia="Malgun Gothic"/>
      <w:lang w:val="en-GB" w:eastAsia="zh-CN"/>
    </w:rPr>
  </w:style>
  <w:style w:type="paragraph" w:customStyle="1" w:styleId="109">
    <w:name w:val="main text"/>
    <w:basedOn w:val="1"/>
    <w:link w:val="110"/>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10">
    <w:name w:val="main text Char"/>
    <w:basedOn w:val="37"/>
    <w:link w:val="109"/>
    <w:qFormat/>
    <w:uiPriority w:val="0"/>
    <w:rPr>
      <w:rFonts w:eastAsia="Malgun Gothic" w:cs="Batang"/>
      <w:lang w:val="en-GB" w:eastAsia="ko-KR"/>
    </w:rPr>
  </w:style>
  <w:style w:type="paragraph" w:customStyle="1" w:styleId="111">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2">
    <w:name w:val="Comment Text Char"/>
    <w:link w:val="13"/>
    <w:qFormat/>
    <w:uiPriority w:val="99"/>
    <w:rPr>
      <w:color w:val="000000"/>
      <w:lang w:val="en-GB" w:eastAsia="ja-JP"/>
    </w:rPr>
  </w:style>
  <w:style w:type="character" w:customStyle="1" w:styleId="113">
    <w:name w:val="Caption Char"/>
    <w:link w:val="22"/>
    <w:qFormat/>
    <w:uiPriority w:val="99"/>
    <w:rPr>
      <w:b/>
      <w:bCs/>
      <w:color w:val="000000"/>
      <w:lang w:val="en-GB" w:eastAsia="ja-JP"/>
    </w:rPr>
  </w:style>
  <w:style w:type="paragraph" w:customStyle="1" w:styleId="114">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5">
    <w:name w:val="List Table 2 - Accent 51"/>
    <w:basedOn w:val="41"/>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6">
    <w:name w:val="Revision2"/>
    <w:hidden/>
    <w:semiHidden/>
    <w:qFormat/>
    <w:uiPriority w:val="99"/>
    <w:rPr>
      <w:rFonts w:ascii="Times New Roman" w:hAnsi="Times New Roman" w:eastAsia="宋体" w:cs="Times New Roman"/>
      <w:color w:val="000000"/>
      <w:lang w:val="en-GB" w:eastAsia="ja-JP" w:bidi="ar-SA"/>
    </w:rPr>
  </w:style>
  <w:style w:type="paragraph" w:customStyle="1" w:styleId="117">
    <w:name w:val="List Paragraph2"/>
    <w:basedOn w:val="1"/>
    <w:qFormat/>
    <w:uiPriority w:val="99"/>
    <w:pPr>
      <w:ind w:firstLine="420" w:firstLineChars="200"/>
    </w:pPr>
  </w:style>
  <w:style w:type="paragraph" w:customStyle="1" w:styleId="118">
    <w:name w:val="PatApp Body"/>
    <w:basedOn w:val="1"/>
    <w:qFormat/>
    <w:uiPriority w:val="0"/>
    <w:pPr>
      <w:numPr>
        <w:ilvl w:val="0"/>
        <w:numId w:val="4"/>
      </w:numPr>
      <w:spacing w:line="480" w:lineRule="auto"/>
    </w:pPr>
    <w:rPr>
      <w:rFonts w:eastAsia="Times New Roman"/>
      <w:snapToGrid w:val="0"/>
      <w:sz w:val="24"/>
      <w:lang w:eastAsia="en-US"/>
    </w:rPr>
  </w:style>
  <w:style w:type="character" w:customStyle="1" w:styleId="119">
    <w:name w:val="short_text"/>
    <w:basedOn w:val="37"/>
    <w:qFormat/>
    <w:uiPriority w:val="0"/>
  </w:style>
  <w:style w:type="paragraph" w:customStyle="1" w:styleId="120">
    <w:name w:val="New Paragraph Style"/>
    <w:basedOn w:val="1"/>
    <w:qFormat/>
    <w:uiPriority w:val="0"/>
    <w:pPr>
      <w:widowControl w:val="0"/>
      <w:numPr>
        <w:ilvl w:val="0"/>
        <w:numId w:val="5"/>
      </w:numPr>
      <w:spacing w:line="480" w:lineRule="auto"/>
      <w:jc w:val="both"/>
      <w:textAlignment w:val="baseline"/>
    </w:pPr>
    <w:rPr>
      <w:rFonts w:ascii="Courier New" w:hAnsi="Courier New" w:eastAsia="Times New Roman"/>
      <w:bCs/>
    </w:rPr>
  </w:style>
  <w:style w:type="paragraph" w:customStyle="1" w:styleId="121">
    <w:name w:val="Tdoc_Header_2"/>
    <w:basedOn w:val="1"/>
    <w:qFormat/>
    <w:uiPriority w:val="0"/>
    <w:pPr>
      <w:widowControl w:val="0"/>
      <w:tabs>
        <w:tab w:val="left" w:pos="1701"/>
        <w:tab w:val="right" w:pos="9072"/>
        <w:tab w:val="right" w:pos="10206"/>
      </w:tabs>
      <w:overflowPunct/>
      <w:autoSpaceDE/>
      <w:autoSpaceDN/>
      <w:adjustRightInd/>
      <w:spacing w:after="0"/>
    </w:pPr>
    <w:rPr>
      <w:rFonts w:eastAsia="Batang"/>
      <w:b/>
      <w:sz w:val="18"/>
      <w:lang w:eastAsia="en-US"/>
    </w:rPr>
  </w:style>
  <w:style w:type="paragraph" w:customStyle="1" w:styleId="122">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7.xml"/><Relationship Id="rId31" Type="http://schemas.openxmlformats.org/officeDocument/2006/relationships/customXml" Target="../customXml/item6.xml"/><Relationship Id="rId30" Type="http://schemas.openxmlformats.org/officeDocument/2006/relationships/customXml" Target="../customXml/item5.xml"/><Relationship Id="rId3" Type="http://schemas.openxmlformats.org/officeDocument/2006/relationships/header" Target="header1.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chart" Target="charts/chart13.xml"/><Relationship Id="rId17" Type="http://schemas.openxmlformats.org/officeDocument/2006/relationships/chart" Target="charts/chart12.xml"/><Relationship Id="rId16" Type="http://schemas.openxmlformats.org/officeDocument/2006/relationships/chart" Target="charts/chart11.xml"/><Relationship Id="rId15" Type="http://schemas.openxmlformats.org/officeDocument/2006/relationships/chart" Target="charts/chart10.xml"/><Relationship Id="rId14" Type="http://schemas.openxmlformats.org/officeDocument/2006/relationships/chart" Target="charts/chart9.xml"/><Relationship Id="rId13" Type="http://schemas.openxmlformats.org/officeDocument/2006/relationships/chart" Target="charts/chart8.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10.xml.rels><?xml version="1.0" encoding="UTF-8" standalone="yes"?>
<Relationships xmlns="http://schemas.openxmlformats.org/package/2006/relationships"><Relationship Id="rId3" Type="http://schemas.microsoft.com/office/2011/relationships/chartColorStyle" Target="colors11.xml"/><Relationship Id="rId2" Type="http://schemas.microsoft.com/office/2011/relationships/chartStyle" Target="style11.xml"/><Relationship Id="rId1" Type="http://schemas.openxmlformats.org/officeDocument/2006/relationships/oleObject" Target="file:///D:\2018\MatlabSim\PS_Sim.xlsx" TargetMode="External"/></Relationships>
</file>

<file path=word/charts/_rels/chart11.xml.rels><?xml version="1.0" encoding="UTF-8" standalone="yes"?>
<Relationships xmlns="http://schemas.openxmlformats.org/package/2006/relationships"><Relationship Id="rId3" Type="http://schemas.microsoft.com/office/2011/relationships/chartColorStyle" Target="colors10.xml"/><Relationship Id="rId2" Type="http://schemas.microsoft.com/office/2011/relationships/chartStyle" Target="style10.xml"/><Relationship Id="rId1" Type="http://schemas.openxmlformats.org/officeDocument/2006/relationships/oleObject" Target="file:///D:\2018\MatlabSim\PS_Sim.xlsx" TargetMode="External"/></Relationships>
</file>

<file path=word/charts/_rels/chart12.xml.rels><?xml version="1.0" encoding="UTF-8" standalone="yes"?>
<Relationships xmlns="http://schemas.openxmlformats.org/package/2006/relationships"><Relationship Id="rId3" Type="http://schemas.microsoft.com/office/2011/relationships/chartColorStyle" Target="colors12.xml"/><Relationship Id="rId2" Type="http://schemas.microsoft.com/office/2011/relationships/chartStyle" Target="style12.xml"/><Relationship Id="rId1" Type="http://schemas.openxmlformats.org/officeDocument/2006/relationships/oleObject" Target="file:///D:\2018\MatlabSim\PS_Sim.xlsx" TargetMode="External"/></Relationships>
</file>

<file path=word/charts/_rels/chart13.xml.rels><?xml version="1.0" encoding="UTF-8" standalone="yes"?>
<Relationships xmlns="http://schemas.openxmlformats.org/package/2006/relationships"><Relationship Id="rId3" Type="http://schemas.microsoft.com/office/2011/relationships/chartColorStyle" Target="colors13.xml"/><Relationship Id="rId2" Type="http://schemas.microsoft.com/office/2011/relationships/chartStyle" Target="style13.xml"/><Relationship Id="rId1" Type="http://schemas.openxmlformats.org/officeDocument/2006/relationships/oleObject" Target="file:///D:\2018\MatlabSim\PS_Sim.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power%20saving\1111&#20250;&#21518;\&#19979;&#27425;&#20250;&#21069;\PS_numer_simulationData.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power%20saving\1111&#20250;&#21518;\&#19979;&#27425;&#20250;&#21069;\PS_numer_simulationData.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power%20saving\1111&#20250;&#21518;\&#19979;&#27425;&#20250;&#21069;\PS_numer_simulationData.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file:///D:\2018\MatlabSim\PS_Si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solidFill>
                  <a:sysClr val="windowText" lastClr="000000"/>
                </a:solidFill>
                <a:uFillTx/>
              </a:rPr>
              <a:t>cross-slot scheduling and multi-slot scheduling</a:t>
            </a:r>
            <a:endParaRPr lang="en-US" altLang="zh-CN" sz="1000">
              <a:solidFill>
                <a:sysClr val="windowText" lastClr="000000"/>
              </a:solidFill>
              <a:uFillTx/>
            </a:endParaRPr>
          </a:p>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solidFill>
                  <a:sysClr val="windowText" lastClr="000000"/>
                </a:solidFill>
                <a:uFillTx/>
              </a:rPr>
              <a:t>160-100-8</a:t>
            </a:r>
            <a:endParaRPr lang="en-US" altLang="zh-CN" sz="1000">
              <a:solidFill>
                <a:sysClr val="windowText" lastClr="000000"/>
              </a:solidFill>
              <a:uFillTx/>
            </a:endParaRPr>
          </a:p>
        </c:rich>
      </c:tx>
      <c:layout/>
      <c:overlay val="0"/>
      <c:spPr>
        <a:noFill/>
        <a:ln>
          <a:noFill/>
        </a:ln>
        <a:effectLst/>
      </c:spPr>
    </c:title>
    <c:autoTitleDeleted val="0"/>
    <c:plotArea>
      <c:layout/>
      <c:barChart>
        <c:barDir val="col"/>
        <c:grouping val="clustered"/>
        <c:varyColors val="0"/>
        <c:ser>
          <c:idx val="0"/>
          <c:order val="0"/>
          <c:tx>
            <c:strRef>
              <c:f>[工作簿1]Sheet1!$N$19</c:f>
              <c:strCache>
                <c:ptCount val="1"/>
                <c:pt idx="0">
                  <c:v>Baseline</c:v>
                </c:pt>
              </c:strCache>
            </c:strRef>
          </c:tx>
          <c:spPr>
            <a:solidFill>
              <a:schemeClr val="accent1"/>
            </a:solidFill>
            <a:ln>
              <a:noFill/>
            </a:ln>
            <a:effectLst/>
          </c:spPr>
          <c:invertIfNegative val="0"/>
          <c:dLbls>
            <c:dLbl>
              <c:idx val="0"/>
              <c:layout>
                <c:manualLayout>
                  <c:x val="-0.0244544770504138"/>
                  <c:y val="0.0241028387787895"/>
                </c:manualLayout>
              </c:layout>
              <c:tx>
                <c:rich>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r>
                      <a:rPr lang="en-US" altLang="zh-CN" sz="800" u="none" strike="noStrike" cap="none" normalizeH="0">
                        <a:solidFill>
                          <a:sysClr val="windowText" lastClr="000000"/>
                        </a:solidFill>
                        <a:uFill>
                          <a:solidFill>
                            <a:schemeClr val="tx1">
                              <a:lumMod val="75000"/>
                              <a:lumOff val="25000"/>
                            </a:schemeClr>
                          </a:solidFill>
                        </a:uFill>
                      </a:rPr>
                      <a:t>40.5309</a:t>
                    </a:r>
                    <a:endParaRPr lang="en-US" altLang="zh-CN" sz="800" u="none" strike="noStrike" cap="none" normalizeH="0">
                      <a:solidFill>
                        <a:sysClr val="windowText" lastClr="000000"/>
                      </a:solidFill>
                      <a:uFill>
                        <a:solidFill>
                          <a:schemeClr val="tx1">
                            <a:lumMod val="75000"/>
                            <a:lumOff val="25000"/>
                          </a:schemeClr>
                        </a:solidFill>
                      </a:uFill>
                    </a:endParaRPr>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31677953348382"/>
                  <c:y val="0.013390465988216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19789315274643"/>
                  <c:y val="0.024102838778789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[工作簿1]Sheet1!$O$19:$Q$19</c:f>
              <c:numCache>
                <c:formatCode>General</c:formatCode>
                <c:ptCount val="3"/>
                <c:pt idx="0">
                  <c:v>40.5309</c:v>
                </c:pt>
                <c:pt idx="1">
                  <c:v>41.5931</c:v>
                </c:pt>
                <c:pt idx="2">
                  <c:v>42.6735</c:v>
                </c:pt>
              </c:numCache>
            </c:numRef>
          </c:val>
        </c:ser>
        <c:ser>
          <c:idx val="1"/>
          <c:order val="1"/>
          <c:tx>
            <c:strRef>
              <c:f>[工作簿1]Sheet1!$N$20</c:f>
              <c:strCache>
                <c:ptCount val="1"/>
                <c:pt idx="0">
                  <c:v>multi</c:v>
                </c:pt>
              </c:strCache>
            </c:strRef>
          </c:tx>
          <c:spPr>
            <a:solidFill>
              <a:schemeClr val="accent2"/>
            </a:solidFill>
            <a:ln>
              <a:noFill/>
            </a:ln>
            <a:effectLst/>
          </c:spPr>
          <c:invertIfNegative val="0"/>
          <c:dLbls>
            <c:dLbl>
              <c:idx val="0"/>
              <c:layout>
                <c:manualLayout>
                  <c:x val="0.0270592563303018"/>
                  <c:y val="0.024274290574457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42253565773909"/>
                  <c:y val="0.018666847897764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3145622385836"/>
                  <c:y val="0.01062664689273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[工作簿1]Sheet1!$O$20:$Q$20</c:f>
              <c:numCache>
                <c:formatCode>General</c:formatCode>
                <c:ptCount val="3"/>
                <c:pt idx="0">
                  <c:v>40.2752</c:v>
                </c:pt>
                <c:pt idx="1">
                  <c:v>41.0829</c:v>
                </c:pt>
                <c:pt idx="2">
                  <c:v>41.8599</c:v>
                </c:pt>
              </c:numCache>
            </c:numRef>
          </c:val>
        </c:ser>
        <c:ser>
          <c:idx val="2"/>
          <c:order val="2"/>
          <c:tx>
            <c:strRef>
              <c:f>[工作簿1]Sheet1!$N$21</c:f>
              <c:strCache>
                <c:ptCount val="1"/>
                <c:pt idx="0">
                  <c:v>cross</c:v>
                </c:pt>
              </c:strCache>
            </c:strRef>
          </c:tx>
          <c:spPr>
            <a:solidFill>
              <a:schemeClr val="accent3"/>
            </a:solidFill>
            <a:ln>
              <a:noFill/>
            </a:ln>
            <a:effectLst/>
          </c:spPr>
          <c:invertIfNegative val="0"/>
          <c:dLbls>
            <c:dLbl>
              <c:idx val="0"/>
              <c:layout>
                <c:manualLayout>
                  <c:x val="0.018811136192626"/>
                  <c:y val="0.018746652383502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940556809631302"/>
                  <c:y val="0.018746652383502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752445447705041"/>
                  <c:y val="0.024102838778789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[工作簿1]Sheet1!$O$21:$Q$21</c:f>
              <c:numCache>
                <c:formatCode>General</c:formatCode>
                <c:ptCount val="3"/>
                <c:pt idx="0">
                  <c:v>30.3434</c:v>
                </c:pt>
                <c:pt idx="1">
                  <c:v>31.4062</c:v>
                </c:pt>
                <c:pt idx="2">
                  <c:v>32.4786</c:v>
                </c:pt>
              </c:numCache>
            </c:numRef>
          </c:val>
        </c:ser>
        <c:dLbls>
          <c:showLegendKey val="0"/>
          <c:showVal val="1"/>
          <c:showCatName val="0"/>
          <c:showSerName val="0"/>
          <c:showPercent val="0"/>
          <c:showBubbleSize val="0"/>
        </c:dLbls>
        <c:gapWidth val="219"/>
        <c:overlap val="-27"/>
        <c:axId val="-2028862128"/>
        <c:axId val="-2028865936"/>
      </c:barChart>
      <c:catAx>
        <c:axId val="-202886212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crossAx val="-2028865936"/>
        <c:crosses val="autoZero"/>
        <c:auto val="1"/>
        <c:lblAlgn val="ctr"/>
        <c:lblOffset val="100"/>
        <c:noMultiLvlLbl val="0"/>
      </c:catAx>
      <c:valAx>
        <c:axId val="-20288659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sz="800">
                    <a:solidFill>
                      <a:schemeClr val="tx1">
                        <a:lumMod val="95000"/>
                        <a:lumOff val="5000"/>
                      </a:schemeClr>
                    </a:solidFill>
                    <a:uFillTx/>
                  </a:rPr>
                  <a:t>average power consumption  of 1 slot</a:t>
                </a:r>
                <a:endParaRPr lang="en-US" altLang="zh-CN" sz="800">
                  <a:solidFill>
                    <a:schemeClr val="tx1">
                      <a:lumMod val="95000"/>
                      <a:lumOff val="5000"/>
                    </a:schemeClr>
                  </a:solidFill>
                  <a:uFillTx/>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crossAx val="-2028862128"/>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sequence performance over AWGN</a:t>
            </a:r>
            <a:endParaRPr lang="en-US" altLang="zh-CN"/>
          </a:p>
        </c:rich>
      </c:tx>
      <c:layout/>
      <c:overlay val="0"/>
      <c:spPr>
        <a:noFill/>
        <a:ln>
          <a:noFill/>
        </a:ln>
        <a:effectLst/>
      </c:spPr>
    </c:title>
    <c:autoTitleDeleted val="0"/>
    <c:plotArea>
      <c:layout/>
      <c:scatterChart>
        <c:scatterStyle val="smoothMarker"/>
        <c:varyColors val="0"/>
        <c:ser>
          <c:idx val="2"/>
          <c:order val="0"/>
          <c:tx>
            <c:strRef>
              <c:f>"ZC-132"</c:f>
              <c:strCache>
                <c:ptCount val="1"/>
                <c:pt idx="0">
                  <c:v>ZC-132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[PS_Sim.xlsx]AWGN!$B$72:$E$72</c:f>
              <c:numCache>
                <c:formatCode>General</c:formatCode>
                <c:ptCount val="4"/>
                <c:pt idx="0">
                  <c:v>-9</c:v>
                </c:pt>
                <c:pt idx="1">
                  <c:v>-8</c:v>
                </c:pt>
                <c:pt idx="2">
                  <c:v>-7</c:v>
                </c:pt>
                <c:pt idx="3">
                  <c:v>-6</c:v>
                </c:pt>
              </c:numCache>
            </c:numRef>
          </c:xVal>
          <c:yVal>
            <c:numRef>
              <c:f>[PS_Sim.xlsx]AWGN!$B$73:$E$73</c:f>
              <c:numCache>
                <c:formatCode>General</c:formatCode>
                <c:ptCount val="4"/>
                <c:pt idx="0">
                  <c:v>0.3212</c:v>
                </c:pt>
                <c:pt idx="1">
                  <c:v>0.133867</c:v>
                </c:pt>
                <c:pt idx="2">
                  <c:v>0.0335667</c:v>
                </c:pt>
                <c:pt idx="3">
                  <c:v>0.0037</c:v>
                </c:pt>
              </c:numCache>
            </c:numRef>
          </c:yVal>
          <c:smooth val="1"/>
        </c:ser>
        <c:ser>
          <c:idx val="3"/>
          <c:order val="1"/>
          <c:tx>
            <c:strRef>
              <c:f>"PN-144"</c:f>
              <c:strCache>
                <c:ptCount val="1"/>
                <c:pt idx="0">
                  <c:v>PN-144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[PS_Sim.xlsx]AWGN!$I$81:$L$81</c:f>
              <c:numCache>
                <c:formatCode>General</c:formatCode>
                <c:ptCount val="4"/>
                <c:pt idx="0">
                  <c:v>-9</c:v>
                </c:pt>
                <c:pt idx="1">
                  <c:v>-8</c:v>
                </c:pt>
                <c:pt idx="2">
                  <c:v>-7</c:v>
                </c:pt>
                <c:pt idx="3">
                  <c:v>-6</c:v>
                </c:pt>
              </c:numCache>
            </c:numRef>
          </c:xVal>
          <c:yVal>
            <c:numRef>
              <c:f>[PS_Sim.xlsx]AWGN!$I$82:$L$82</c:f>
              <c:numCache>
                <c:formatCode>General</c:formatCode>
                <c:ptCount val="4"/>
                <c:pt idx="0">
                  <c:v>0.24281</c:v>
                </c:pt>
                <c:pt idx="1">
                  <c:v>0.08211</c:v>
                </c:pt>
                <c:pt idx="2">
                  <c:v>0.01572</c:v>
                </c:pt>
                <c:pt idx="3">
                  <c:v>0.00124</c:v>
                </c:pt>
              </c:numCache>
            </c:numRef>
          </c:yVal>
          <c:smooth val="1"/>
        </c:ser>
        <c:ser>
          <c:idx val="0"/>
          <c:order val="2"/>
          <c:tx>
            <c:strRef>
              <c:f>"PN-72"</c:f>
              <c:strCache>
                <c:ptCount val="1"/>
                <c:pt idx="0">
                  <c:v>PN-72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[PS_Sim.xlsx]AWGN!$N$81:$T$81</c:f>
              <c:numCache>
                <c:formatCode>General</c:formatCode>
                <c:ptCount val="7"/>
                <c:pt idx="0">
                  <c:v>-9</c:v>
                </c:pt>
                <c:pt idx="1">
                  <c:v>-8</c:v>
                </c:pt>
                <c:pt idx="2">
                  <c:v>-7</c:v>
                </c:pt>
                <c:pt idx="3">
                  <c:v>-6</c:v>
                </c:pt>
                <c:pt idx="4">
                  <c:v>-5</c:v>
                </c:pt>
                <c:pt idx="5">
                  <c:v>-4</c:v>
                </c:pt>
                <c:pt idx="6">
                  <c:v>-3</c:v>
                </c:pt>
              </c:numCache>
            </c:numRef>
          </c:xVal>
          <c:yVal>
            <c:numRef>
              <c:f>[PS_Sim.xlsx]AWGN!$N$82:$T$82</c:f>
              <c:numCache>
                <c:formatCode>General</c:formatCode>
                <c:ptCount val="7"/>
                <c:pt idx="0">
                  <c:v>0.80833</c:v>
                </c:pt>
                <c:pt idx="1">
                  <c:v>0.66232</c:v>
                </c:pt>
                <c:pt idx="2">
                  <c:v>0.4563</c:v>
                </c:pt>
                <c:pt idx="3">
                  <c:v>0.24631</c:v>
                </c:pt>
                <c:pt idx="4">
                  <c:v>0.09031</c:v>
                </c:pt>
                <c:pt idx="5">
                  <c:v>0.01796</c:v>
                </c:pt>
                <c:pt idx="6">
                  <c:v>0.00162</c:v>
                </c:pt>
              </c:numCache>
            </c:numRef>
          </c:yVal>
          <c:smooth val="1"/>
        </c:ser>
        <c:dLbls>
          <c:showLegendKey val="0"/>
          <c:showVal val="0"/>
          <c:showCatName val="0"/>
          <c:showSerName val="0"/>
          <c:showPercent val="0"/>
          <c:showBubbleSize val="0"/>
        </c:dLbls>
        <c:axId val="-2013633424"/>
        <c:axId val="-2013632880"/>
      </c:scatterChart>
      <c:valAx>
        <c:axId val="-2013633424"/>
        <c:scaling>
          <c:orientation val="minMax"/>
          <c:max val="-3"/>
          <c:min val="-9"/>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3632880"/>
        <c:crosses val="autoZero"/>
        <c:crossBetween val="midCat"/>
      </c:valAx>
      <c:valAx>
        <c:axId val="-2013632880"/>
        <c:scaling>
          <c:logBase val="10"/>
          <c:orientation val="minMax"/>
          <c:max val="1"/>
          <c:min val="0.00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PMD</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3633424"/>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sequence and PDCCH performance over AWGN</a:t>
            </a:r>
            <a:endParaRPr lang="en-US" altLang="zh-CN"/>
          </a:p>
        </c:rich>
      </c:tx>
      <c:layout/>
      <c:overlay val="0"/>
      <c:spPr>
        <a:noFill/>
        <a:ln>
          <a:noFill/>
        </a:ln>
        <a:effectLst/>
      </c:spPr>
    </c:title>
    <c:autoTitleDeleted val="0"/>
    <c:plotArea>
      <c:layout/>
      <c:scatterChart>
        <c:scatterStyle val="smoothMarker"/>
        <c:varyColors val="0"/>
        <c:ser>
          <c:idx val="2"/>
          <c:order val="0"/>
          <c:tx>
            <c:strRef>
              <c:f>"ZC-132"</c:f>
              <c:strCache>
                <c:ptCount val="1"/>
                <c:pt idx="0">
                  <c:v>ZC-132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[PS_Sim.xlsx]AWGN!$B$72:$E$72</c:f>
              <c:numCache>
                <c:formatCode>General</c:formatCode>
                <c:ptCount val="4"/>
                <c:pt idx="0">
                  <c:v>-9</c:v>
                </c:pt>
                <c:pt idx="1">
                  <c:v>-8</c:v>
                </c:pt>
                <c:pt idx="2">
                  <c:v>-7</c:v>
                </c:pt>
                <c:pt idx="3">
                  <c:v>-6</c:v>
                </c:pt>
              </c:numCache>
            </c:numRef>
          </c:xVal>
          <c:yVal>
            <c:numRef>
              <c:f>[PS_Sim.xlsx]AWGN!$B$73:$E$73</c:f>
              <c:numCache>
                <c:formatCode>General</c:formatCode>
                <c:ptCount val="4"/>
                <c:pt idx="0">
                  <c:v>0.3212</c:v>
                </c:pt>
                <c:pt idx="1">
                  <c:v>0.133867</c:v>
                </c:pt>
                <c:pt idx="2">
                  <c:v>0.0335667</c:v>
                </c:pt>
                <c:pt idx="3">
                  <c:v>0.0037</c:v>
                </c:pt>
              </c:numCache>
            </c:numRef>
          </c:yVal>
          <c:smooth val="1"/>
        </c:ser>
        <c:ser>
          <c:idx val="0"/>
          <c:order val="1"/>
          <c:tx>
            <c:strRef>
              <c:f>"AL4-K30"</c:f>
              <c:strCache>
                <c:ptCount val="1"/>
                <c:pt idx="0">
                  <c:v>AL4-K30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[PS_Sim.xlsx]AWGN!$B$81:$G$81</c:f>
              <c:numCache>
                <c:formatCode>General</c:formatCode>
                <c:ptCount val="6"/>
                <c:pt idx="0">
                  <c:v>-9</c:v>
                </c:pt>
                <c:pt idx="1">
                  <c:v>-8</c:v>
                </c:pt>
                <c:pt idx="2">
                  <c:v>-7</c:v>
                </c:pt>
                <c:pt idx="3">
                  <c:v>-6</c:v>
                </c:pt>
                <c:pt idx="4">
                  <c:v>-5</c:v>
                </c:pt>
                <c:pt idx="5">
                  <c:v>-4</c:v>
                </c:pt>
              </c:numCache>
            </c:numRef>
          </c:xVal>
          <c:yVal>
            <c:numRef>
              <c:f>[PS_Sim.xlsx]AWGN!$B$82:$G$82</c:f>
              <c:numCache>
                <c:formatCode>General</c:formatCode>
                <c:ptCount val="6"/>
                <c:pt idx="0">
                  <c:v>0.914234</c:v>
                </c:pt>
                <c:pt idx="1">
                  <c:v>0.709632</c:v>
                </c:pt>
                <c:pt idx="2">
                  <c:v>0.388071</c:v>
                </c:pt>
                <c:pt idx="3">
                  <c:v>0.106009</c:v>
                </c:pt>
                <c:pt idx="4">
                  <c:v>0.0118889</c:v>
                </c:pt>
                <c:pt idx="5">
                  <c:v>0.00049</c:v>
                </c:pt>
              </c:numCache>
            </c:numRef>
          </c:yVal>
          <c:smooth val="1"/>
        </c:ser>
        <c:ser>
          <c:idx val="1"/>
          <c:order val="2"/>
          <c:tx>
            <c:strRef>
              <c:f>"AL4-K16"</c:f>
              <c:strCache>
                <c:ptCount val="1"/>
                <c:pt idx="0">
                  <c:v>AL4-K16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[PS_Sim.xlsx]AWGN!$B$44:$E$44</c:f>
              <c:numCache>
                <c:formatCode>General</c:formatCode>
                <c:ptCount val="4"/>
                <c:pt idx="0">
                  <c:v>-9</c:v>
                </c:pt>
                <c:pt idx="1">
                  <c:v>-8</c:v>
                </c:pt>
                <c:pt idx="2">
                  <c:v>-7</c:v>
                </c:pt>
                <c:pt idx="3">
                  <c:v>-6</c:v>
                </c:pt>
              </c:numCache>
            </c:numRef>
          </c:xVal>
          <c:yVal>
            <c:numRef>
              <c:f>[PS_Sim.xlsx]AWGN!$B$45:$E$45</c:f>
              <c:numCache>
                <c:formatCode>General</c:formatCode>
                <c:ptCount val="4"/>
                <c:pt idx="0">
                  <c:v>0.46648</c:v>
                </c:pt>
                <c:pt idx="1">
                  <c:v>0.207625</c:v>
                </c:pt>
                <c:pt idx="2">
                  <c:v>0.0455206</c:v>
                </c:pt>
                <c:pt idx="3">
                  <c:v>0.00399</c:v>
                </c:pt>
              </c:numCache>
            </c:numRef>
          </c:yVal>
          <c:smooth val="1"/>
        </c:ser>
        <c:ser>
          <c:idx val="3"/>
          <c:order val="3"/>
          <c:tx>
            <c:strRef>
              <c:f>"PN-144"</c:f>
              <c:strCache>
                <c:ptCount val="1"/>
                <c:pt idx="0">
                  <c:v>PN-144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[PS_Sim.xlsx]AWGN!$I$81:$L$81</c:f>
              <c:numCache>
                <c:formatCode>General</c:formatCode>
                <c:ptCount val="4"/>
                <c:pt idx="0">
                  <c:v>-9</c:v>
                </c:pt>
                <c:pt idx="1">
                  <c:v>-8</c:v>
                </c:pt>
                <c:pt idx="2">
                  <c:v>-7</c:v>
                </c:pt>
                <c:pt idx="3">
                  <c:v>-6</c:v>
                </c:pt>
              </c:numCache>
            </c:numRef>
          </c:xVal>
          <c:yVal>
            <c:numRef>
              <c:f>[PS_Sim.xlsx]AWGN!$I$82:$L$82</c:f>
              <c:numCache>
                <c:formatCode>General</c:formatCode>
                <c:ptCount val="4"/>
                <c:pt idx="0">
                  <c:v>0.24281</c:v>
                </c:pt>
                <c:pt idx="1">
                  <c:v>0.08211</c:v>
                </c:pt>
                <c:pt idx="2">
                  <c:v>0.01572</c:v>
                </c:pt>
                <c:pt idx="3">
                  <c:v>0.00124</c:v>
                </c:pt>
              </c:numCache>
            </c:numRef>
          </c:yVal>
          <c:smooth val="1"/>
        </c:ser>
        <c:dLbls>
          <c:showLegendKey val="0"/>
          <c:showVal val="0"/>
          <c:showCatName val="0"/>
          <c:showSerName val="0"/>
          <c:showPercent val="0"/>
          <c:showBubbleSize val="0"/>
        </c:dLbls>
        <c:axId val="-2001369344"/>
        <c:axId val="-2001368256"/>
      </c:scatterChart>
      <c:valAx>
        <c:axId val="-2001369344"/>
        <c:scaling>
          <c:orientation val="minMax"/>
          <c:max val="-4"/>
          <c:min val="-9"/>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8256"/>
        <c:crosses val="autoZero"/>
        <c:crossBetween val="midCat"/>
      </c:valAx>
      <c:valAx>
        <c:axId val="-2001368256"/>
        <c:scaling>
          <c:logBase val="10"/>
          <c:orientation val="minMax"/>
          <c:max val="1"/>
          <c:min val="0.00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BLER,PMD</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9344"/>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PDCCH over TDL-C</a:t>
            </a:r>
            <a:endParaRPr lang="en-US" altLang="zh-CN"/>
          </a:p>
        </c:rich>
      </c:tx>
      <c:layout/>
      <c:overlay val="0"/>
      <c:spPr>
        <a:noFill/>
        <a:ln>
          <a:noFill/>
        </a:ln>
        <a:effectLst/>
      </c:spPr>
    </c:title>
    <c:autoTitleDeleted val="0"/>
    <c:plotArea>
      <c:layout/>
      <c:scatterChart>
        <c:scatterStyle val="smoothMarker"/>
        <c:varyColors val="0"/>
        <c:ser>
          <c:idx val="0"/>
          <c:order val="0"/>
          <c:tx>
            <c:strRef>
              <c:f>"AL4-K30"</c:f>
              <c:strCache>
                <c:ptCount val="1"/>
                <c:pt idx="0">
                  <c:v>AL4-K30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[PS_Sim.xlsx]FAD!$C$133:$E$133</c:f>
              <c:numCache>
                <c:formatCode>General</c:formatCode>
                <c:ptCount val="3"/>
                <c:pt idx="0">
                  <c:v>-6</c:v>
                </c:pt>
                <c:pt idx="1">
                  <c:v>-4</c:v>
                </c:pt>
                <c:pt idx="2">
                  <c:v>-2</c:v>
                </c:pt>
              </c:numCache>
            </c:numRef>
          </c:xVal>
          <c:yVal>
            <c:numRef>
              <c:f>[PS_Sim.xlsx]FAD!$C$134:$E$134</c:f>
              <c:numCache>
                <c:formatCode>General</c:formatCode>
                <c:ptCount val="3"/>
                <c:pt idx="0">
                  <c:v>0.21654</c:v>
                </c:pt>
                <c:pt idx="1">
                  <c:v>0.04654</c:v>
                </c:pt>
                <c:pt idx="2">
                  <c:v>0.00658</c:v>
                </c:pt>
              </c:numCache>
            </c:numRef>
          </c:yVal>
          <c:smooth val="1"/>
        </c:ser>
        <c:ser>
          <c:idx val="1"/>
          <c:order val="1"/>
          <c:tx>
            <c:strRef>
              <c:f>"AL4-K16"</c:f>
              <c:strCache>
                <c:ptCount val="1"/>
                <c:pt idx="0">
                  <c:v>AL4-K16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[PS_Sim.xlsx]FAD!$K$133:$N$133</c:f>
              <c:numCache>
                <c:formatCode>General</c:formatCode>
                <c:ptCount val="4"/>
                <c:pt idx="0">
                  <c:v>-8</c:v>
                </c:pt>
                <c:pt idx="1">
                  <c:v>-6</c:v>
                </c:pt>
                <c:pt idx="2">
                  <c:v>-4</c:v>
                </c:pt>
                <c:pt idx="3">
                  <c:v>-2</c:v>
                </c:pt>
              </c:numCache>
            </c:numRef>
          </c:xVal>
          <c:yVal>
            <c:numRef>
              <c:f>[PS_Sim.xlsx]FAD!$K$134:$N$134</c:f>
              <c:numCache>
                <c:formatCode>General</c:formatCode>
                <c:ptCount val="4"/>
                <c:pt idx="0">
                  <c:v>0.3205</c:v>
                </c:pt>
                <c:pt idx="1">
                  <c:v>0.0994</c:v>
                </c:pt>
                <c:pt idx="2">
                  <c:v>0.0189333</c:v>
                </c:pt>
                <c:pt idx="3">
                  <c:v>0.00246667</c:v>
                </c:pt>
              </c:numCache>
            </c:numRef>
          </c:yVal>
          <c:smooth val="1"/>
        </c:ser>
        <c:ser>
          <c:idx val="2"/>
          <c:order val="2"/>
          <c:tx>
            <c:strRef>
              <c:f>"AL2-K30"</c:f>
              <c:strCache>
                <c:ptCount val="1"/>
                <c:pt idx="0">
                  <c:v>AL2-K30</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[PS_Sim.xlsx]FAD!$C$130:$G$130</c:f>
              <c:numCache>
                <c:formatCode>General</c:formatCode>
                <c:ptCount val="5"/>
                <c:pt idx="0">
                  <c:v>-6</c:v>
                </c:pt>
                <c:pt idx="1">
                  <c:v>-4</c:v>
                </c:pt>
                <c:pt idx="2">
                  <c:v>-2</c:v>
                </c:pt>
                <c:pt idx="3">
                  <c:v>0</c:v>
                </c:pt>
                <c:pt idx="4">
                  <c:v>2</c:v>
                </c:pt>
              </c:numCache>
            </c:numRef>
          </c:xVal>
          <c:yVal>
            <c:numRef>
              <c:f>[PS_Sim.xlsx]FAD!$C$131:$G$131</c:f>
              <c:numCache>
                <c:formatCode>General</c:formatCode>
                <c:ptCount val="5"/>
                <c:pt idx="0">
                  <c:v>0.68914</c:v>
                </c:pt>
                <c:pt idx="1">
                  <c:v>0.3784</c:v>
                </c:pt>
                <c:pt idx="2">
                  <c:v>0.14608</c:v>
                </c:pt>
                <c:pt idx="3">
                  <c:v>0.04092</c:v>
                </c:pt>
                <c:pt idx="4">
                  <c:v>0.00944</c:v>
                </c:pt>
              </c:numCache>
            </c:numRef>
          </c:yVal>
          <c:smooth val="1"/>
        </c:ser>
        <c:dLbls>
          <c:showLegendKey val="0"/>
          <c:showVal val="0"/>
          <c:showCatName val="0"/>
          <c:showSerName val="0"/>
          <c:showPercent val="0"/>
          <c:showBubbleSize val="0"/>
        </c:dLbls>
        <c:axId val="-2001364448"/>
        <c:axId val="-2001369888"/>
      </c:scatterChart>
      <c:valAx>
        <c:axId val="-2001364448"/>
        <c:scaling>
          <c:orientation val="minMax"/>
          <c:max val="2"/>
          <c:min val="-8"/>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9888"/>
        <c:crosses val="autoZero"/>
        <c:crossBetween val="midCat"/>
      </c:valAx>
      <c:valAx>
        <c:axId val="-2001369888"/>
        <c:scaling>
          <c:logBase val="10"/>
          <c:orientation val="minMax"/>
          <c:max val="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4448"/>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sequence  and PDCCH performance over TDL-C</a:t>
            </a:r>
            <a:endParaRPr lang="en-US" altLang="zh-CN"/>
          </a:p>
        </c:rich>
      </c:tx>
      <c:layout/>
      <c:overlay val="0"/>
      <c:spPr>
        <a:noFill/>
        <a:ln>
          <a:noFill/>
        </a:ln>
        <a:effectLst/>
      </c:spPr>
    </c:title>
    <c:autoTitleDeleted val="0"/>
    <c:plotArea>
      <c:layout/>
      <c:scatterChart>
        <c:scatterStyle val="smoothMarker"/>
        <c:varyColors val="0"/>
        <c:ser>
          <c:idx val="0"/>
          <c:order val="0"/>
          <c:tx>
            <c:strRef>
              <c:f>"AL4-K16"</c:f>
              <c:strCache>
                <c:ptCount val="1"/>
                <c:pt idx="0">
                  <c:v>AL4-K16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[PS_Sim.xlsx]FAD!$B$103:$E$103</c:f>
              <c:numCache>
                <c:formatCode>General</c:formatCode>
                <c:ptCount val="4"/>
                <c:pt idx="0">
                  <c:v>-8</c:v>
                </c:pt>
                <c:pt idx="1">
                  <c:v>-6</c:v>
                </c:pt>
                <c:pt idx="2">
                  <c:v>-4</c:v>
                </c:pt>
                <c:pt idx="3">
                  <c:v>-2</c:v>
                </c:pt>
              </c:numCache>
            </c:numRef>
          </c:xVal>
          <c:yVal>
            <c:numRef>
              <c:f>[PS_Sim.xlsx]FAD!$B$104:$E$104</c:f>
              <c:numCache>
                <c:formatCode>General</c:formatCode>
                <c:ptCount val="4"/>
                <c:pt idx="0">
                  <c:v>0.31035</c:v>
                </c:pt>
                <c:pt idx="1">
                  <c:v>0.0802</c:v>
                </c:pt>
                <c:pt idx="2">
                  <c:v>0.0123833</c:v>
                </c:pt>
                <c:pt idx="3">
                  <c:v>0.00116667</c:v>
                </c:pt>
              </c:numCache>
            </c:numRef>
          </c:yVal>
          <c:smooth val="1"/>
        </c:ser>
        <c:ser>
          <c:idx val="1"/>
          <c:order val="1"/>
          <c:tx>
            <c:strRef>
              <c:f>"PN-144"</c:f>
              <c:strCache>
                <c:ptCount val="1"/>
                <c:pt idx="0">
                  <c:v>PN-144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[PS_Sim.xlsx]FAD!$J$103:$M$103</c:f>
              <c:numCache>
                <c:formatCode>General</c:formatCode>
                <c:ptCount val="4"/>
                <c:pt idx="0">
                  <c:v>-8</c:v>
                </c:pt>
                <c:pt idx="1">
                  <c:v>-6</c:v>
                </c:pt>
                <c:pt idx="2">
                  <c:v>-4</c:v>
                </c:pt>
                <c:pt idx="3">
                  <c:v>-2</c:v>
                </c:pt>
              </c:numCache>
            </c:numRef>
          </c:xVal>
          <c:yVal>
            <c:numRef>
              <c:f>[PS_Sim.xlsx]FAD!$J$104:$M$104</c:f>
              <c:numCache>
                <c:formatCode>General</c:formatCode>
                <c:ptCount val="4"/>
                <c:pt idx="0">
                  <c:v>0.30075</c:v>
                </c:pt>
                <c:pt idx="1">
                  <c:v>0.09385</c:v>
                </c:pt>
                <c:pt idx="2">
                  <c:v>0.0165</c:v>
                </c:pt>
                <c:pt idx="3">
                  <c:v>0.00176667</c:v>
                </c:pt>
              </c:numCache>
            </c:numRef>
          </c:yVal>
          <c:smooth val="1"/>
        </c:ser>
        <c:ser>
          <c:idx val="2"/>
          <c:order val="2"/>
          <c:tx>
            <c:strRef>
              <c:f>"AL4-K30"</c:f>
              <c:strCache>
                <c:ptCount val="1"/>
                <c:pt idx="0">
                  <c:v>AL4-K30</c:v>
                </c:pt>
              </c:strCache>
            </c:strRef>
          </c:tx>
          <c:spPr>
            <a:ln w="19050" cap="rnd">
              <a:solidFill>
                <a:srgbClr val="FFFF00"/>
              </a:solidFill>
              <a:round/>
            </a:ln>
            <a:effectLst/>
          </c:spPr>
          <c:marker>
            <c:symbol val="circle"/>
            <c:size val="5"/>
            <c:spPr>
              <a:solidFill>
                <a:schemeClr val="accent3"/>
              </a:solidFill>
              <a:ln w="9525">
                <a:solidFill>
                  <a:schemeClr val="accent3"/>
                </a:solidFill>
              </a:ln>
              <a:effectLst/>
            </c:spPr>
          </c:marker>
          <c:dLbls>
            <c:delete val="1"/>
          </c:dLbls>
          <c:xVal>
            <c:numRef>
              <c:f>[PS_Sim.xlsx]FAD!$C$133:$E$133</c:f>
              <c:numCache>
                <c:formatCode>General</c:formatCode>
                <c:ptCount val="3"/>
                <c:pt idx="0">
                  <c:v>-6</c:v>
                </c:pt>
                <c:pt idx="1">
                  <c:v>-4</c:v>
                </c:pt>
                <c:pt idx="2">
                  <c:v>-2</c:v>
                </c:pt>
              </c:numCache>
            </c:numRef>
          </c:xVal>
          <c:yVal>
            <c:numRef>
              <c:f>[PS_Sim.xlsx]FAD!$C$134:$E$134</c:f>
              <c:numCache>
                <c:formatCode>General</c:formatCode>
                <c:ptCount val="3"/>
                <c:pt idx="0">
                  <c:v>0.21654</c:v>
                </c:pt>
                <c:pt idx="1">
                  <c:v>0.04654</c:v>
                </c:pt>
                <c:pt idx="2">
                  <c:v>0.00658</c:v>
                </c:pt>
              </c:numCache>
            </c:numRef>
          </c:yVal>
          <c:smooth val="1"/>
        </c:ser>
        <c:dLbls>
          <c:showLegendKey val="0"/>
          <c:showVal val="0"/>
          <c:showCatName val="0"/>
          <c:showSerName val="0"/>
          <c:showPercent val="0"/>
          <c:showBubbleSize val="0"/>
        </c:dLbls>
        <c:axId val="-2001366624"/>
        <c:axId val="-2001370976"/>
      </c:scatterChart>
      <c:valAx>
        <c:axId val="-2001366624"/>
        <c:scaling>
          <c:orientation val="minMax"/>
          <c:max val="-2"/>
          <c:min val="-8"/>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70976"/>
        <c:crosses val="autoZero"/>
        <c:crossBetween val="midCat"/>
      </c:valAx>
      <c:valAx>
        <c:axId val="-2001370976"/>
        <c:scaling>
          <c:logBase val="10"/>
          <c:orientation val="minMax"/>
          <c:max val="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BLER,PMD</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6624"/>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CDRX Cycle=160ms, ON Duration=10ms</a:t>
            </a:r>
            <a:endParaRPr lang="en-US" sz="960" u="none" strike="noStrike" cap="none" normalizeH="0">
              <a:solidFill>
                <a:schemeClr val="tx1"/>
              </a:solidFill>
              <a:uFill>
                <a:solidFill>
                  <a:schemeClr val="tx1"/>
                </a:solidFill>
              </a:uFill>
            </a:endParaRPr>
          </a:p>
        </c:rich>
      </c:tx>
      <c:layout>
        <c:manualLayout>
          <c:xMode val="edge"/>
          <c:yMode val="edge"/>
          <c:x val="0.26775641025641"/>
          <c:y val="0.0676603255540302"/>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[PS_numer_simulationData.xlsx]baseline_FTP!$C$10:$C$18</c:f>
              <c:numCache>
                <c:formatCode>General</c:formatCode>
                <c:ptCount val="9"/>
                <c:pt idx="0">
                  <c:v>4</c:v>
                </c:pt>
                <c:pt idx="1">
                  <c:v>10</c:v>
                </c:pt>
                <c:pt idx="2">
                  <c:v>20</c:v>
                </c:pt>
                <c:pt idx="3">
                  <c:v>30</c:v>
                </c:pt>
                <c:pt idx="4">
                  <c:v>40</c:v>
                </c:pt>
                <c:pt idx="5">
                  <c:v>50</c:v>
                </c:pt>
                <c:pt idx="6">
                  <c:v>60</c:v>
                </c:pt>
                <c:pt idx="7">
                  <c:v>80</c:v>
                </c:pt>
                <c:pt idx="8">
                  <c:v>100</c:v>
                </c:pt>
              </c:numCache>
            </c:numRef>
          </c:cat>
          <c:val>
            <c:numRef>
              <c:f>[PS_numer_simulationData.xlsx]baseline_FTP!$E$10:$E$18</c:f>
              <c:numCache>
                <c:formatCode>0.0000_);[Red]\(0.0000\)</c:formatCode>
                <c:ptCount val="9"/>
                <c:pt idx="0">
                  <c:v>10.5991046875</c:v>
                </c:pt>
                <c:pt idx="1">
                  <c:v>10.5991046875</c:v>
                </c:pt>
                <c:pt idx="2">
                  <c:v>14.6928678125</c:v>
                </c:pt>
                <c:pt idx="3">
                  <c:v>18.169405703125</c:v>
                </c:pt>
                <c:pt idx="4">
                  <c:v>21.75990703125</c:v>
                </c:pt>
                <c:pt idx="5">
                  <c:v>25.412495625</c:v>
                </c:pt>
                <c:pt idx="6">
                  <c:v>28.780102734375</c:v>
                </c:pt>
                <c:pt idx="7">
                  <c:v>35.056801640625</c:v>
                </c:pt>
                <c:pt idx="8">
                  <c:v>40.4573309375</c:v>
                </c:pt>
              </c:numCache>
            </c:numRef>
          </c:val>
        </c:ser>
        <c:dLbls>
          <c:showLegendKey val="0"/>
          <c:showVal val="1"/>
          <c:showCatName val="0"/>
          <c:showSerName val="0"/>
          <c:showPercent val="0"/>
          <c:showBubbleSize val="0"/>
        </c:dLbls>
        <c:gapWidth val="219"/>
        <c:overlap val="-27"/>
        <c:axId val="-2028866480"/>
        <c:axId val="-2028863760"/>
      </c:barChart>
      <c:catAx>
        <c:axId val="-2028866480"/>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Inactivity Timer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63760"/>
        <c:crosses val="autoZero"/>
        <c:auto val="1"/>
        <c:lblAlgn val="ctr"/>
        <c:lblOffset val="100"/>
        <c:noMultiLvlLbl val="0"/>
      </c:catAx>
      <c:valAx>
        <c:axId val="-2028863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664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CDRX Timer=160ms, InactivityTimer=10ms</a:t>
            </a:r>
            <a:endParaRPr lang="en-US" sz="960" u="none" strike="noStrike" cap="none" normalizeH="0">
              <a:solidFill>
                <a:schemeClr val="tx1"/>
              </a:solidFill>
              <a:uFill>
                <a:solidFill>
                  <a:schemeClr val="tx1"/>
                </a:solidFill>
              </a:uFill>
            </a:endParaRPr>
          </a:p>
        </c:rich>
      </c:tx>
      <c:layout>
        <c:manualLayout>
          <c:xMode val="edge"/>
          <c:yMode val="edge"/>
          <c:x val="0.255683975648764"/>
          <c:y val="0.0647185722690724"/>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[PS_numer_simulationData.xlsx]baseline_FTP!$D$19:$D$27</c:f>
              <c:numCache>
                <c:formatCode>General</c:formatCode>
                <c:ptCount val="9"/>
                <c:pt idx="0">
                  <c:v>4</c:v>
                </c:pt>
                <c:pt idx="1">
                  <c:v>10</c:v>
                </c:pt>
                <c:pt idx="2">
                  <c:v>20</c:v>
                </c:pt>
                <c:pt idx="3">
                  <c:v>30</c:v>
                </c:pt>
                <c:pt idx="4">
                  <c:v>40</c:v>
                </c:pt>
                <c:pt idx="5">
                  <c:v>50</c:v>
                </c:pt>
                <c:pt idx="6">
                  <c:v>60</c:v>
                </c:pt>
                <c:pt idx="7">
                  <c:v>80</c:v>
                </c:pt>
                <c:pt idx="8">
                  <c:v>100</c:v>
                </c:pt>
              </c:numCache>
            </c:numRef>
          </c:cat>
          <c:val>
            <c:numRef>
              <c:f>[PS_numer_simulationData.xlsx]baseline_FTP!$E$19:$E$27</c:f>
              <c:numCache>
                <c:formatCode>0.0000_);[Red]\(0.0000\)</c:formatCode>
                <c:ptCount val="9"/>
                <c:pt idx="0">
                  <c:v>9.282738046875</c:v>
                </c:pt>
                <c:pt idx="1">
                  <c:v>11.054168984375</c:v>
                </c:pt>
                <c:pt idx="2">
                  <c:v>17.0205484375</c:v>
                </c:pt>
                <c:pt idx="3">
                  <c:v>23.306609375</c:v>
                </c:pt>
                <c:pt idx="4">
                  <c:v>29.66099140625</c:v>
                </c:pt>
                <c:pt idx="5">
                  <c:v>35.9498859375</c:v>
                </c:pt>
                <c:pt idx="6">
                  <c:v>42.20729609375</c:v>
                </c:pt>
                <c:pt idx="7">
                  <c:v>54.80208125</c:v>
                </c:pt>
                <c:pt idx="8">
                  <c:v>67.43496796875</c:v>
                </c:pt>
              </c:numCache>
            </c:numRef>
          </c:val>
        </c:ser>
        <c:dLbls>
          <c:showLegendKey val="0"/>
          <c:showVal val="1"/>
          <c:showCatName val="0"/>
          <c:showSerName val="0"/>
          <c:showPercent val="0"/>
          <c:showBubbleSize val="0"/>
        </c:dLbls>
        <c:gapWidth val="219"/>
        <c:overlap val="-27"/>
        <c:axId val="-2028859952"/>
        <c:axId val="-2028864848"/>
      </c:barChart>
      <c:catAx>
        <c:axId val="-2028859952"/>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ON Duration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64848"/>
        <c:crosses val="autoZero"/>
        <c:auto val="1"/>
        <c:lblAlgn val="ctr"/>
        <c:lblOffset val="100"/>
        <c:noMultiLvlLbl val="0"/>
      </c:catAx>
      <c:valAx>
        <c:axId val="-2028864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599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InactivityTimer=10ms, ON Duration=10ms</a:t>
            </a:r>
            <a:endParaRPr lang="en-US" sz="960" u="none" strike="noStrike" cap="none" normalizeH="0">
              <a:solidFill>
                <a:schemeClr val="tx1"/>
              </a:solidFill>
              <a:uFill>
                <a:solidFill>
                  <a:schemeClr val="tx1"/>
                </a:solidFill>
              </a:uFill>
            </a:endParaRPr>
          </a:p>
        </c:rich>
      </c:tx>
      <c:layout>
        <c:manualLayout>
          <c:xMode val="edge"/>
          <c:yMode val="edge"/>
          <c:x val="0.182562038900067"/>
          <c:y val="0.0710650991402"/>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[PS_numer_simulationData.xlsx]baseline_FTP!$B$2:$B$9</c:f>
              <c:numCache>
                <c:formatCode>General</c:formatCode>
                <c:ptCount val="8"/>
                <c:pt idx="0">
                  <c:v>40</c:v>
                </c:pt>
                <c:pt idx="1">
                  <c:v>60</c:v>
                </c:pt>
                <c:pt idx="2">
                  <c:v>70</c:v>
                </c:pt>
                <c:pt idx="3">
                  <c:v>80</c:v>
                </c:pt>
                <c:pt idx="4">
                  <c:v>128</c:v>
                </c:pt>
                <c:pt idx="5">
                  <c:v>160</c:v>
                </c:pt>
                <c:pt idx="6">
                  <c:v>256</c:v>
                </c:pt>
                <c:pt idx="7">
                  <c:v>320</c:v>
                </c:pt>
              </c:numCache>
            </c:numRef>
          </c:cat>
          <c:val>
            <c:numRef>
              <c:f>[PS_numer_simulationData.xlsx]baseline_FTP!$E$2:$E$9</c:f>
              <c:numCache>
                <c:formatCode>0.0000_);[Red]\(0.0000\)</c:formatCode>
                <c:ptCount val="8"/>
                <c:pt idx="0">
                  <c:v>38.1362165625</c:v>
                </c:pt>
                <c:pt idx="1">
                  <c:v>26.5578981413197</c:v>
                </c:pt>
                <c:pt idx="2">
                  <c:v>22.9038146875</c:v>
                </c:pt>
                <c:pt idx="3">
                  <c:v>20.02908796875</c:v>
                </c:pt>
                <c:pt idx="4">
                  <c:v>13.360690234375</c:v>
                </c:pt>
                <c:pt idx="5">
                  <c:v>11.054168984375</c:v>
                </c:pt>
                <c:pt idx="6">
                  <c:v>7.708926875</c:v>
                </c:pt>
                <c:pt idx="7">
                  <c:v>6.576226484375</c:v>
                </c:pt>
              </c:numCache>
            </c:numRef>
          </c:val>
        </c:ser>
        <c:dLbls>
          <c:showLegendKey val="0"/>
          <c:showVal val="1"/>
          <c:showCatName val="0"/>
          <c:showSerName val="0"/>
          <c:showPercent val="0"/>
          <c:showBubbleSize val="0"/>
        </c:dLbls>
        <c:gapWidth val="219"/>
        <c:overlap val="-27"/>
        <c:axId val="-74752240"/>
        <c:axId val="-74751696"/>
      </c:barChart>
      <c:catAx>
        <c:axId val="-74752240"/>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CDRX Cycle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74751696"/>
        <c:crosses val="autoZero"/>
        <c:auto val="1"/>
        <c:lblAlgn val="ctr"/>
        <c:lblOffset val="100"/>
        <c:noMultiLvlLbl val="0"/>
      </c:catAx>
      <c:valAx>
        <c:axId val="-747516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74752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[工作簿1]Sheet3!$C$18</c:f>
              <c:strCache>
                <c:ptCount val="1"/>
                <c:pt idx="0">
                  <c:v>10M</c:v>
                </c:pt>
              </c:strCache>
            </c:strRef>
          </c:tx>
          <c:spPr>
            <a:ln w="28575" cap="rnd">
              <a:solidFill>
                <a:schemeClr val="accent1"/>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[工作簿1]Sheet3!$C$19:$C$26</c:f>
              <c:numCache>
                <c:formatCode>General</c:formatCode>
                <c:ptCount val="8"/>
                <c:pt idx="0">
                  <c:v>14.663</c:v>
                </c:pt>
                <c:pt idx="1">
                  <c:v>17.5589</c:v>
                </c:pt>
                <c:pt idx="2">
                  <c:v>19.0187</c:v>
                </c:pt>
                <c:pt idx="3">
                  <c:v>20.714</c:v>
                </c:pt>
                <c:pt idx="4">
                  <c:v>23.1322</c:v>
                </c:pt>
                <c:pt idx="5">
                  <c:v>25.1797</c:v>
                </c:pt>
                <c:pt idx="6">
                  <c:v>27.5512</c:v>
                </c:pt>
                <c:pt idx="7">
                  <c:v>29.9121</c:v>
                </c:pt>
              </c:numCache>
            </c:numRef>
          </c:val>
          <c:smooth val="0"/>
        </c:ser>
        <c:ser>
          <c:idx val="1"/>
          <c:order val="1"/>
          <c:tx>
            <c:strRef>
              <c:f>[工作簿1]Sheet3!$D$18</c:f>
              <c:strCache>
                <c:ptCount val="1"/>
                <c:pt idx="0">
                  <c:v>20M</c:v>
                </c:pt>
              </c:strCache>
            </c:strRef>
          </c:tx>
          <c:spPr>
            <a:ln w="28575" cap="rnd">
              <a:solidFill>
                <a:schemeClr val="accent2"/>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[工作簿1]Sheet3!$D$19:$D$26</c:f>
              <c:numCache>
                <c:formatCode>General</c:formatCode>
                <c:ptCount val="8"/>
                <c:pt idx="0">
                  <c:v>17.4217</c:v>
                </c:pt>
                <c:pt idx="1">
                  <c:v>19.0704</c:v>
                </c:pt>
                <c:pt idx="2">
                  <c:v>20.2677</c:v>
                </c:pt>
                <c:pt idx="3">
                  <c:v>21.3792</c:v>
                </c:pt>
                <c:pt idx="4">
                  <c:v>22.8109</c:v>
                </c:pt>
                <c:pt idx="5">
                  <c:v>24.2287</c:v>
                </c:pt>
                <c:pt idx="6">
                  <c:v>25.9367</c:v>
                </c:pt>
                <c:pt idx="7">
                  <c:v>27.6035</c:v>
                </c:pt>
              </c:numCache>
            </c:numRef>
          </c:val>
          <c:smooth val="0"/>
        </c:ser>
        <c:ser>
          <c:idx val="2"/>
          <c:order val="2"/>
          <c:tx>
            <c:strRef>
              <c:f>[工作簿1]Sheet3!$E$18</c:f>
              <c:strCache>
                <c:ptCount val="1"/>
                <c:pt idx="0">
                  <c:v>40M</c:v>
                </c:pt>
              </c:strCache>
            </c:strRef>
          </c:tx>
          <c:spPr>
            <a:ln w="28575" cap="rnd">
              <a:solidFill>
                <a:schemeClr val="accent3"/>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[工作簿1]Sheet3!$E$19:$E$26</c:f>
              <c:numCache>
                <c:formatCode>General</c:formatCode>
                <c:ptCount val="8"/>
                <c:pt idx="0">
                  <c:v>22.939</c:v>
                </c:pt>
                <c:pt idx="1">
                  <c:v>24.0848</c:v>
                </c:pt>
                <c:pt idx="2">
                  <c:v>24.6725</c:v>
                </c:pt>
                <c:pt idx="3">
                  <c:v>25.7678</c:v>
                </c:pt>
                <c:pt idx="4">
                  <c:v>26.8833</c:v>
                </c:pt>
                <c:pt idx="5">
                  <c:v>27.9043</c:v>
                </c:pt>
                <c:pt idx="6">
                  <c:v>28.9147</c:v>
                </c:pt>
                <c:pt idx="7">
                  <c:v>30.3954</c:v>
                </c:pt>
              </c:numCache>
            </c:numRef>
          </c:val>
          <c:smooth val="0"/>
        </c:ser>
        <c:ser>
          <c:idx val="3"/>
          <c:order val="3"/>
          <c:tx>
            <c:strRef>
              <c:f>[工作簿1]Sheet3!$F$18</c:f>
              <c:strCache>
                <c:ptCount val="1"/>
                <c:pt idx="0">
                  <c:v>80M</c:v>
                </c:pt>
              </c:strCache>
            </c:strRef>
          </c:tx>
          <c:spPr>
            <a:ln w="28575" cap="rnd">
              <a:solidFill>
                <a:schemeClr val="accent4"/>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[工作簿1]Sheet3!$F$19:$F$26</c:f>
              <c:numCache>
                <c:formatCode>General</c:formatCode>
                <c:ptCount val="8"/>
                <c:pt idx="0">
                  <c:v>33.9737</c:v>
                </c:pt>
                <c:pt idx="1">
                  <c:v>34.856</c:v>
                </c:pt>
                <c:pt idx="2">
                  <c:v>34.856</c:v>
                </c:pt>
                <c:pt idx="3">
                  <c:v>35.7574</c:v>
                </c:pt>
                <c:pt idx="4">
                  <c:v>36.6736</c:v>
                </c:pt>
                <c:pt idx="5">
                  <c:v>37.5333</c:v>
                </c:pt>
                <c:pt idx="6">
                  <c:v>38.3788</c:v>
                </c:pt>
                <c:pt idx="7">
                  <c:v>40.1145</c:v>
                </c:pt>
              </c:numCache>
            </c:numRef>
          </c:val>
          <c:smooth val="0"/>
        </c:ser>
        <c:ser>
          <c:idx val="4"/>
          <c:order val="4"/>
          <c:tx>
            <c:strRef>
              <c:f>[工作簿1]Sheet3!$G$18</c:f>
              <c:strCache>
                <c:ptCount val="1"/>
                <c:pt idx="0">
                  <c:v>100M</c:v>
                </c:pt>
              </c:strCache>
            </c:strRef>
          </c:tx>
          <c:spPr>
            <a:ln w="28575" cap="rnd">
              <a:solidFill>
                <a:schemeClr val="accent5"/>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[工作簿1]Sheet3!$G$19:$G$26</c:f>
              <c:numCache>
                <c:formatCode>General</c:formatCode>
                <c:ptCount val="8"/>
                <c:pt idx="0">
                  <c:v>39.491</c:v>
                </c:pt>
                <c:pt idx="1">
                  <c:v>39.491</c:v>
                </c:pt>
                <c:pt idx="2">
                  <c:v>40.5315</c:v>
                </c:pt>
                <c:pt idx="3">
                  <c:v>41.5937</c:v>
                </c:pt>
                <c:pt idx="4">
                  <c:v>41.5937</c:v>
                </c:pt>
                <c:pt idx="5">
                  <c:v>42.6741</c:v>
                </c:pt>
                <c:pt idx="6">
                  <c:v>43.6877</c:v>
                </c:pt>
                <c:pt idx="7">
                  <c:v>44.6843</c:v>
                </c:pt>
              </c:numCache>
            </c:numRef>
          </c:val>
          <c:smooth val="0"/>
        </c:ser>
        <c:dLbls>
          <c:showLegendKey val="0"/>
          <c:showVal val="0"/>
          <c:showCatName val="0"/>
          <c:showSerName val="0"/>
          <c:showPercent val="0"/>
          <c:showBubbleSize val="0"/>
        </c:dLbls>
        <c:marker val="0"/>
        <c:smooth val="0"/>
        <c:axId val="-74750064"/>
        <c:axId val="-74750608"/>
      </c:lineChart>
      <c:catAx>
        <c:axId val="-74750064"/>
        <c:scaling>
          <c:orientation val="minMax"/>
        </c:scaling>
        <c:delete val="0"/>
        <c:axPos val="b"/>
        <c:title>
          <c:tx>
            <c:rich>
              <a:bodyPr rot="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packets size(Mbytes)</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74750608"/>
        <c:crosses val="autoZero"/>
        <c:auto val="1"/>
        <c:lblAlgn val="ctr"/>
        <c:lblOffset val="100"/>
        <c:noMultiLvlLbl val="0"/>
      </c:catAx>
      <c:valAx>
        <c:axId val="-74750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average power consumption of 1 slot</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7475006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Antenna Domain</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autoTitleDeleted val="0"/>
    <c:plotArea>
      <c:layout/>
      <c:lineChart>
        <c:grouping val="standard"/>
        <c:varyColors val="0"/>
        <c:ser>
          <c:idx val="0"/>
          <c:order val="0"/>
          <c:tx>
            <c:strRef>
              <c:f>[工作簿1]Sheet4!$A$2</c:f>
              <c:strCache>
                <c:ptCount val="1"/>
                <c:pt idx="0">
                  <c:v>4 antennas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strRef>
              <c:f>[工作簿1]Sheet4!$B$1:$F$1</c:f>
              <c:strCache>
                <c:ptCount val="5"/>
                <c:pt idx="0">
                  <c:v>10M</c:v>
                </c:pt>
                <c:pt idx="1">
                  <c:v>20M</c:v>
                </c:pt>
                <c:pt idx="2">
                  <c:v>40M</c:v>
                </c:pt>
                <c:pt idx="3">
                  <c:v>80M</c:v>
                </c:pt>
                <c:pt idx="4">
                  <c:v>100M</c:v>
                </c:pt>
              </c:strCache>
            </c:strRef>
          </c:cat>
          <c:val>
            <c:numRef>
              <c:f>[工作簿1]Sheet4!$B$2:$F$2</c:f>
              <c:numCache>
                <c:formatCode>General</c:formatCode>
                <c:ptCount val="5"/>
                <c:pt idx="0">
                  <c:v>17.5589</c:v>
                </c:pt>
                <c:pt idx="1">
                  <c:v>19.0704</c:v>
                </c:pt>
                <c:pt idx="2">
                  <c:v>24.0848</c:v>
                </c:pt>
                <c:pt idx="3">
                  <c:v>34.856</c:v>
                </c:pt>
                <c:pt idx="4">
                  <c:v>39.491</c:v>
                </c:pt>
              </c:numCache>
            </c:numRef>
          </c:val>
          <c:smooth val="0"/>
        </c:ser>
        <c:ser>
          <c:idx val="1"/>
          <c:order val="1"/>
          <c:tx>
            <c:strRef>
              <c:f>[工作簿1]Sheet4!$A$3</c:f>
              <c:strCache>
                <c:ptCount val="1"/>
                <c:pt idx="0">
                  <c:v>2 or 4 antennas adaptive to channel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strRef>
              <c:f>[工作簿1]Sheet4!$B$1:$F$1</c:f>
              <c:strCache>
                <c:ptCount val="5"/>
                <c:pt idx="0">
                  <c:v>10M</c:v>
                </c:pt>
                <c:pt idx="1">
                  <c:v>20M</c:v>
                </c:pt>
                <c:pt idx="2">
                  <c:v>40M</c:v>
                </c:pt>
                <c:pt idx="3">
                  <c:v>80M</c:v>
                </c:pt>
                <c:pt idx="4">
                  <c:v>100M</c:v>
                </c:pt>
              </c:strCache>
            </c:strRef>
          </c:cat>
          <c:val>
            <c:numRef>
              <c:f>[工作簿1]Sheet4!$B$3:$F$3</c:f>
              <c:numCache>
                <c:formatCode>General</c:formatCode>
                <c:ptCount val="5"/>
                <c:pt idx="0">
                  <c:v>15.3111</c:v>
                </c:pt>
                <c:pt idx="1">
                  <c:v>16.6017</c:v>
                </c:pt>
                <c:pt idx="2">
                  <c:v>20.8656</c:v>
                </c:pt>
                <c:pt idx="3">
                  <c:v>30.0282</c:v>
                </c:pt>
                <c:pt idx="4">
                  <c:v>33.9566</c:v>
                </c:pt>
              </c:numCache>
            </c:numRef>
          </c:val>
          <c:smooth val="0"/>
        </c:ser>
        <c:dLbls>
          <c:showLegendKey val="0"/>
          <c:showVal val="0"/>
          <c:showCatName val="0"/>
          <c:showSerName val="0"/>
          <c:showPercent val="0"/>
          <c:showBubbleSize val="0"/>
        </c:dLbls>
        <c:marker val="1"/>
        <c:smooth val="0"/>
        <c:axId val="-74754416"/>
        <c:axId val="-2028627328"/>
      </c:lineChart>
      <c:catAx>
        <c:axId val="-74754416"/>
        <c:scaling>
          <c:orientation val="minMax"/>
        </c:scaling>
        <c:delete val="0"/>
        <c:axPos val="b"/>
        <c:title>
          <c:tx>
            <c:rich>
              <a:bodyPr rot="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a:t>BWP(Hz)</a:t>
                </a:r>
                <a:endParaRPr lang="en-US" altLang="zh-CN"/>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028627328"/>
        <c:crosses val="autoZero"/>
        <c:auto val="1"/>
        <c:lblAlgn val="ctr"/>
        <c:lblOffset val="100"/>
        <c:noMultiLvlLbl val="0"/>
      </c:catAx>
      <c:valAx>
        <c:axId val="-2028627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a:t>average power consumption of 1 slot</a:t>
                </a:r>
                <a:endParaRPr lang="en-US" altLang="zh-CN"/>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7475441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GTS</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autoTitleDeleted val="0"/>
    <c:plotArea>
      <c:layout/>
      <c:barChart>
        <c:barDir val="col"/>
        <c:grouping val="clustered"/>
        <c:varyColors val="0"/>
        <c:ser>
          <c:idx val="0"/>
          <c:order val="0"/>
          <c:tx>
            <c:strRef>
              <c:f>[工作簿1]Sheet4!$A$20</c:f>
              <c:strCache>
                <c:ptCount val="1"/>
                <c:pt idx="0">
                  <c:v>baseline</c:v>
                </c:pt>
              </c:strCache>
            </c:strRef>
          </c:tx>
          <c:spPr>
            <a:solidFill>
              <a:schemeClr val="accent1"/>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[工作簿1]Sheet4!$B$20:$G$20</c:f>
              <c:numCache>
                <c:formatCode>General</c:formatCode>
                <c:ptCount val="6"/>
                <c:pt idx="0">
                  <c:v>26.2493</c:v>
                </c:pt>
                <c:pt idx="1">
                  <c:v>33.8743</c:v>
                </c:pt>
                <c:pt idx="2">
                  <c:v>21.0052</c:v>
                </c:pt>
                <c:pt idx="3">
                  <c:v>39.491</c:v>
                </c:pt>
                <c:pt idx="4">
                  <c:v>26.518</c:v>
                </c:pt>
                <c:pt idx="5">
                  <c:v>57.2715</c:v>
                </c:pt>
              </c:numCache>
            </c:numRef>
          </c:val>
        </c:ser>
        <c:ser>
          <c:idx val="1"/>
          <c:order val="1"/>
          <c:tx>
            <c:strRef>
              <c:f>[工作簿1]Sheet4!$A$21</c:f>
              <c:strCache>
                <c:ptCount val="1"/>
                <c:pt idx="0">
                  <c:v>GTS_2</c:v>
                </c:pt>
              </c:strCache>
            </c:strRef>
          </c:tx>
          <c:spPr>
            <a:solidFill>
              <a:schemeClr val="accent2"/>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[工作簿1]Sheet4!$B$21:$G$21</c:f>
              <c:numCache>
                <c:formatCode>General</c:formatCode>
                <c:ptCount val="6"/>
                <c:pt idx="0">
                  <c:v>20.1192</c:v>
                </c:pt>
                <c:pt idx="1">
                  <c:v>24.6191</c:v>
                </c:pt>
                <c:pt idx="2">
                  <c:v>14.9966</c:v>
                </c:pt>
                <c:pt idx="3">
                  <c:v>28.7147</c:v>
                </c:pt>
                <c:pt idx="4">
                  <c:v>20.6301</c:v>
                </c:pt>
                <c:pt idx="5">
                  <c:v>47.1915</c:v>
                </c:pt>
              </c:numCache>
            </c:numRef>
          </c:val>
        </c:ser>
        <c:ser>
          <c:idx val="2"/>
          <c:order val="2"/>
          <c:tx>
            <c:strRef>
              <c:f>[工作簿1]Sheet4!$A$22</c:f>
              <c:strCache>
                <c:ptCount val="1"/>
                <c:pt idx="0">
                  <c:v>GTS_4</c:v>
                </c:pt>
              </c:strCache>
            </c:strRef>
          </c:tx>
          <c:spPr>
            <a:solidFill>
              <a:schemeClr val="accent3"/>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[工作簿1]Sheet4!$B$22:$G$22</c:f>
              <c:numCache>
                <c:formatCode>General</c:formatCode>
                <c:ptCount val="6"/>
                <c:pt idx="0">
                  <c:v>19.4618</c:v>
                </c:pt>
                <c:pt idx="1">
                  <c:v>24.1134</c:v>
                </c:pt>
                <c:pt idx="2">
                  <c:v>14.1708</c:v>
                </c:pt>
                <c:pt idx="3">
                  <c:v>27.6211</c:v>
                </c:pt>
                <c:pt idx="4">
                  <c:v>19.8315</c:v>
                </c:pt>
                <c:pt idx="5">
                  <c:v>45.9549</c:v>
                </c:pt>
              </c:numCache>
            </c:numRef>
          </c:val>
        </c:ser>
        <c:ser>
          <c:idx val="3"/>
          <c:order val="3"/>
          <c:tx>
            <c:strRef>
              <c:f>[工作簿1]Sheet4!$A$23</c:f>
              <c:strCache>
                <c:ptCount val="1"/>
                <c:pt idx="0">
                  <c:v>GTS_8</c:v>
                </c:pt>
              </c:strCache>
            </c:strRef>
          </c:tx>
          <c:spPr>
            <a:solidFill>
              <a:schemeClr val="accent4"/>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[工作簿1]Sheet4!$B$23:$G$23</c:f>
              <c:numCache>
                <c:formatCode>General</c:formatCode>
                <c:ptCount val="6"/>
                <c:pt idx="0">
                  <c:v>18.7427</c:v>
                </c:pt>
                <c:pt idx="1">
                  <c:v>20.4325</c:v>
                </c:pt>
                <c:pt idx="2">
                  <c:v>10.3671</c:v>
                </c:pt>
                <c:pt idx="3">
                  <c:v>19.9997</c:v>
                </c:pt>
                <c:pt idx="4">
                  <c:v>15.903</c:v>
                </c:pt>
                <c:pt idx="5">
                  <c:v>38.9401</c:v>
                </c:pt>
              </c:numCache>
            </c:numRef>
          </c:val>
        </c:ser>
        <c:ser>
          <c:idx val="4"/>
          <c:order val="4"/>
          <c:tx>
            <c:strRef>
              <c:f>[工作簿1]Sheet4!$A$24</c:f>
              <c:strCache>
                <c:ptCount val="1"/>
                <c:pt idx="0">
                  <c:v>GTS_16</c:v>
                </c:pt>
              </c:strCache>
            </c:strRef>
          </c:tx>
          <c:spPr>
            <a:solidFill>
              <a:schemeClr val="accent5"/>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[工作簿1]Sheet4!$B$24:$G$24</c:f>
              <c:numCache>
                <c:formatCode>General</c:formatCode>
                <c:ptCount val="6"/>
                <c:pt idx="0">
                  <c:v>18.4065</c:v>
                </c:pt>
                <c:pt idx="1">
                  <c:v>20.883</c:v>
                </c:pt>
                <c:pt idx="2">
                  <c:v>10.6654</c:v>
                </c:pt>
                <c:pt idx="3">
                  <c:v>20.7558</c:v>
                </c:pt>
                <c:pt idx="4">
                  <c:v>16.0038</c:v>
                </c:pt>
                <c:pt idx="5">
                  <c:v>39.567</c:v>
                </c:pt>
              </c:numCache>
            </c:numRef>
          </c:val>
        </c:ser>
        <c:dLbls>
          <c:showLegendKey val="0"/>
          <c:showVal val="0"/>
          <c:showCatName val="0"/>
          <c:showSerName val="0"/>
          <c:showPercent val="0"/>
          <c:showBubbleSize val="0"/>
        </c:dLbls>
        <c:gapWidth val="219"/>
        <c:overlap val="-27"/>
        <c:axId val="-2028626240"/>
        <c:axId val="-2028629504"/>
      </c:barChart>
      <c:catAx>
        <c:axId val="-202862624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028629504"/>
        <c:crosses val="autoZero"/>
        <c:auto val="1"/>
        <c:lblAlgn val="ctr"/>
        <c:lblOffset val="100"/>
        <c:noMultiLvlLbl val="0"/>
      </c:catAx>
      <c:valAx>
        <c:axId val="-2028629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average power consumption of 1 slot</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02862624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power consumption ratio of RRM measurement </a:t>
            </a:r>
            <a:endPar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manualLayout>
          <c:layoutTarget val="inner"/>
          <c:xMode val="edge"/>
          <c:yMode val="edge"/>
          <c:x val="0.120222222222222"/>
          <c:y val="0.177083333333333"/>
          <c:w val="0.849222222222222"/>
          <c:h val="0.629722222222222"/>
        </c:manualLayout>
      </c:layout>
      <c:barChart>
        <c:barDir val="col"/>
        <c:grouping val="clustered"/>
        <c:varyColors val="0"/>
        <c:ser>
          <c:idx val="0"/>
          <c:order val="0"/>
          <c:tx>
            <c:strRef>
              <c:f>"DRX：160-10-10"</c:f>
              <c:strCache>
                <c:ptCount val="1"/>
                <c:pt idx="0">
                  <c:v>DRX：160-10-10</c:v>
                </c:pt>
              </c:strCache>
            </c:strRef>
          </c:tx>
          <c:spPr>
            <a:solidFill>
              <a:schemeClr val="accent1"/>
            </a:solidFill>
            <a:ln>
              <a:noFill/>
            </a:ln>
            <a:effectLst/>
          </c:spPr>
          <c:invertIfNegative val="0"/>
          <c:dLbls>
            <c:delete val="1"/>
          </c:dLbls>
          <c:val>
            <c:numRef>
              <c:f>[工作簿1]Sheet1!$C$4:$F$4</c:f>
              <c:numCache>
                <c:formatCode>General</c:formatCode>
                <c:ptCount val="4"/>
                <c:pt idx="0">
                  <c:v>7.56</c:v>
                </c:pt>
                <c:pt idx="1">
                  <c:v>4.09</c:v>
                </c:pt>
                <c:pt idx="2">
                  <c:v>2.07</c:v>
                </c:pt>
                <c:pt idx="3">
                  <c:v>1.04</c:v>
                </c:pt>
              </c:numCache>
            </c:numRef>
          </c:val>
        </c:ser>
        <c:ser>
          <c:idx val="1"/>
          <c:order val="1"/>
          <c:tx>
            <c:strRef>
              <c:f>"DRX:320-10-8"</c:f>
              <c:strCache>
                <c:ptCount val="1"/>
                <c:pt idx="0">
                  <c:v>DRX:320-10-8</c:v>
                </c:pt>
              </c:strCache>
            </c:strRef>
          </c:tx>
          <c:spPr>
            <a:solidFill>
              <a:schemeClr val="accent2"/>
            </a:solidFill>
            <a:ln>
              <a:noFill/>
            </a:ln>
            <a:effectLst/>
          </c:spPr>
          <c:invertIfNegative val="0"/>
          <c:dLbls>
            <c:delete val="1"/>
          </c:dLbls>
          <c:val>
            <c:numRef>
              <c:f>[工作簿1]Sheet1!$C$6:$F$6</c:f>
              <c:numCache>
                <c:formatCode>General</c:formatCode>
                <c:ptCount val="4"/>
                <c:pt idx="0">
                  <c:v>10.02</c:v>
                </c:pt>
                <c:pt idx="1">
                  <c:v>6.43</c:v>
                </c:pt>
                <c:pt idx="2">
                  <c:v>3.38</c:v>
                </c:pt>
                <c:pt idx="3">
                  <c:v>1.71</c:v>
                </c:pt>
              </c:numCache>
            </c:numRef>
          </c:val>
        </c:ser>
        <c:ser>
          <c:idx val="2"/>
          <c:order val="2"/>
          <c:tx>
            <c:strRef>
              <c:f>"DRX：160-100-8"</c:f>
              <c:strCache>
                <c:ptCount val="1"/>
                <c:pt idx="0">
                  <c:v>DRX：160-100-8</c:v>
                </c:pt>
              </c:strCache>
            </c:strRef>
          </c:tx>
          <c:spPr>
            <a:solidFill>
              <a:schemeClr val="accent3"/>
            </a:solidFill>
            <a:ln>
              <a:noFill/>
            </a:ln>
            <a:effectLst/>
          </c:spPr>
          <c:invertIfNegative val="0"/>
          <c:dLbls>
            <c:delete val="1"/>
          </c:dLbls>
          <c:val>
            <c:numRef>
              <c:f>[工作簿1]Sheet1!$C$8:$F$8</c:f>
              <c:numCache>
                <c:formatCode>General</c:formatCode>
                <c:ptCount val="4"/>
                <c:pt idx="0">
                  <c:v>1.94</c:v>
                </c:pt>
                <c:pt idx="1">
                  <c:v>0.95</c:v>
                </c:pt>
                <c:pt idx="2">
                  <c:v>0.48</c:v>
                </c:pt>
                <c:pt idx="3">
                  <c:v>0.24</c:v>
                </c:pt>
              </c:numCache>
            </c:numRef>
          </c:val>
        </c:ser>
        <c:dLbls>
          <c:showLegendKey val="0"/>
          <c:showVal val="0"/>
          <c:showCatName val="0"/>
          <c:showSerName val="0"/>
          <c:showPercent val="0"/>
          <c:showBubbleSize val="0"/>
        </c:dLbls>
        <c:gapWidth val="219"/>
        <c:overlap val="-27"/>
        <c:axId val="-17079248"/>
        <c:axId val="-17077072"/>
      </c:barChart>
      <c:catAx>
        <c:axId val="-1707924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RRM measurement period</a:t>
                </a: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(*80 ms)</a:t>
                </a:r>
                <a:endPar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368930555555556"/>
              <c:y val="0.899768518518518"/>
            </c:manualLayout>
          </c:layout>
          <c:overlay val="0"/>
          <c:spPr>
            <a:noFill/>
            <a:ln>
              <a:noFill/>
            </a:ln>
            <a:effectLst/>
          </c:spPr>
        </c:title>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7077072"/>
        <c:crosses val="autoZero"/>
        <c:auto val="1"/>
        <c:lblAlgn val="ctr"/>
        <c:lblOffset val="100"/>
        <c:noMultiLvlLbl val="0"/>
      </c:catAx>
      <c:valAx>
        <c:axId val="-170770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power consumption ratio</a:t>
                </a: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t>
                </a:r>
                <a:endPar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7079248"/>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manualLayout>
          <c:xMode val="edge"/>
          <c:yMode val="edge"/>
          <c:x val="0.335"/>
          <c:y val="0.20231481481481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PDCCH performance over AWGN</a:t>
            </a:r>
            <a:endParaRPr lang="en-US" altLang="zh-CN"/>
          </a:p>
        </c:rich>
      </c:tx>
      <c:layout/>
      <c:overlay val="0"/>
      <c:spPr>
        <a:noFill/>
        <a:ln>
          <a:noFill/>
        </a:ln>
        <a:effectLst/>
      </c:spPr>
    </c:title>
    <c:autoTitleDeleted val="0"/>
    <c:plotArea>
      <c:layout/>
      <c:scatterChart>
        <c:scatterStyle val="smoothMarker"/>
        <c:varyColors val="0"/>
        <c:ser>
          <c:idx val="0"/>
          <c:order val="0"/>
          <c:tx>
            <c:strRef>
              <c:f>"AL4-K30"</c:f>
              <c:strCache>
                <c:ptCount val="1"/>
                <c:pt idx="0">
                  <c:v>AL4-K30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[PS_Sim.xlsx]AWGN!$B$81:$G$81</c:f>
              <c:numCache>
                <c:formatCode>General</c:formatCode>
                <c:ptCount val="6"/>
                <c:pt idx="0">
                  <c:v>-9</c:v>
                </c:pt>
                <c:pt idx="1">
                  <c:v>-8</c:v>
                </c:pt>
                <c:pt idx="2">
                  <c:v>-7</c:v>
                </c:pt>
                <c:pt idx="3">
                  <c:v>-6</c:v>
                </c:pt>
                <c:pt idx="4">
                  <c:v>-5</c:v>
                </c:pt>
                <c:pt idx="5">
                  <c:v>-4</c:v>
                </c:pt>
              </c:numCache>
            </c:numRef>
          </c:xVal>
          <c:yVal>
            <c:numRef>
              <c:f>[PS_Sim.xlsx]AWGN!$B$82:$G$82</c:f>
              <c:numCache>
                <c:formatCode>General</c:formatCode>
                <c:ptCount val="6"/>
                <c:pt idx="0">
                  <c:v>0.914234</c:v>
                </c:pt>
                <c:pt idx="1">
                  <c:v>0.709632</c:v>
                </c:pt>
                <c:pt idx="2">
                  <c:v>0.388071</c:v>
                </c:pt>
                <c:pt idx="3">
                  <c:v>0.106009</c:v>
                </c:pt>
                <c:pt idx="4">
                  <c:v>0.0118889</c:v>
                </c:pt>
                <c:pt idx="5">
                  <c:v>0.00049</c:v>
                </c:pt>
              </c:numCache>
            </c:numRef>
          </c:yVal>
          <c:smooth val="1"/>
        </c:ser>
        <c:ser>
          <c:idx val="1"/>
          <c:order val="1"/>
          <c:tx>
            <c:strRef>
              <c:f>"AL4-K16"</c:f>
              <c:strCache>
                <c:ptCount val="1"/>
                <c:pt idx="0">
                  <c:v>AL4-K16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[PS_Sim.xlsx]AWGN!$B$44:$E$44</c:f>
              <c:numCache>
                <c:formatCode>General</c:formatCode>
                <c:ptCount val="4"/>
                <c:pt idx="0">
                  <c:v>-9</c:v>
                </c:pt>
                <c:pt idx="1">
                  <c:v>-8</c:v>
                </c:pt>
                <c:pt idx="2">
                  <c:v>-7</c:v>
                </c:pt>
                <c:pt idx="3">
                  <c:v>-6</c:v>
                </c:pt>
              </c:numCache>
            </c:numRef>
          </c:xVal>
          <c:yVal>
            <c:numRef>
              <c:f>[PS_Sim.xlsx]AWGN!$B$45:$E$45</c:f>
              <c:numCache>
                <c:formatCode>General</c:formatCode>
                <c:ptCount val="4"/>
                <c:pt idx="0">
                  <c:v>0.46648</c:v>
                </c:pt>
                <c:pt idx="1">
                  <c:v>0.207625</c:v>
                </c:pt>
                <c:pt idx="2">
                  <c:v>0.0455206</c:v>
                </c:pt>
                <c:pt idx="3">
                  <c:v>0.00399</c:v>
                </c:pt>
              </c:numCache>
            </c:numRef>
          </c:yVal>
          <c:smooth val="1"/>
        </c:ser>
        <c:ser>
          <c:idx val="2"/>
          <c:order val="2"/>
          <c:tx>
            <c:strRef>
              <c:f>"AL2-K30"</c:f>
              <c:strCache>
                <c:ptCount val="1"/>
                <c:pt idx="0">
                  <c:v>AL2-K30</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[PS_Sim.xlsx]AWGN!$B$78:$G$78</c:f>
              <c:numCache>
                <c:formatCode>General</c:formatCode>
                <c:ptCount val="6"/>
                <c:pt idx="0">
                  <c:v>-6</c:v>
                </c:pt>
                <c:pt idx="1">
                  <c:v>-5</c:v>
                </c:pt>
                <c:pt idx="2">
                  <c:v>-4</c:v>
                </c:pt>
                <c:pt idx="3">
                  <c:v>-3</c:v>
                </c:pt>
                <c:pt idx="4">
                  <c:v>-2</c:v>
                </c:pt>
                <c:pt idx="5">
                  <c:v>-1</c:v>
                </c:pt>
              </c:numCache>
            </c:numRef>
          </c:xVal>
          <c:yVal>
            <c:numRef>
              <c:f>[PS_Sim.xlsx]AWGN!$B$79:$G$79</c:f>
              <c:numCache>
                <c:formatCode>General</c:formatCode>
                <c:ptCount val="6"/>
                <c:pt idx="0">
                  <c:v>0.931227</c:v>
                </c:pt>
                <c:pt idx="1">
                  <c:v>0.774343</c:v>
                </c:pt>
                <c:pt idx="2">
                  <c:v>0.469981</c:v>
                </c:pt>
                <c:pt idx="3">
                  <c:v>0.157152</c:v>
                </c:pt>
                <c:pt idx="4">
                  <c:v>0.0210354</c:v>
                </c:pt>
                <c:pt idx="5">
                  <c:v>0.00095</c:v>
                </c:pt>
              </c:numCache>
            </c:numRef>
          </c:yVal>
          <c:smooth val="1"/>
        </c:ser>
        <c:dLbls>
          <c:showLegendKey val="0"/>
          <c:showVal val="0"/>
          <c:showCatName val="0"/>
          <c:showSerName val="0"/>
          <c:showPercent val="0"/>
          <c:showBubbleSize val="0"/>
        </c:dLbls>
        <c:axId val="-2014816368"/>
        <c:axId val="-2014815824"/>
      </c:scatterChart>
      <c:valAx>
        <c:axId val="-2014816368"/>
        <c:scaling>
          <c:orientation val="minMax"/>
          <c:max val="-1"/>
          <c:min val="-9"/>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4815824"/>
        <c:crosses val="autoZero"/>
        <c:crossBetween val="midCat"/>
      </c:valAx>
      <c:valAx>
        <c:axId val="-2014815824"/>
        <c:scaling>
          <c:logBase val="10"/>
          <c:orientation val="minMax"/>
          <c:max val="1"/>
          <c:min val="0.00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4816368"/>
        <c:crossesAt val="0"/>
        <c:crossBetween val="midCat"/>
      </c:valAx>
      <c:spPr>
        <a:noFill/>
        <a:ln>
          <a:noFill/>
        </a:ln>
        <a:effectLst/>
      </c:spPr>
    </c:plotArea>
    <c:legend>
      <c:legendPos val="r"/>
      <c:layout>
        <c:manualLayout>
          <c:xMode val="edge"/>
          <c:yMode val="edge"/>
          <c:x val="0.6075"/>
          <c:y val="0.480671296296296"/>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F6A00C-BA6D-445C-BD2F-2CBF3C97092B}">
  <ds:schemaRefs/>
</ds:datastoreItem>
</file>

<file path=customXml/itemProps3.xml><?xml version="1.0" encoding="utf-8"?>
<ds:datastoreItem xmlns:ds="http://schemas.openxmlformats.org/officeDocument/2006/customXml" ds:itemID="{48BD8531-97C6-4C63-AAD2-0FBF41786D1F}">
  <ds:schemaRefs/>
</ds:datastoreItem>
</file>

<file path=customXml/itemProps4.xml><?xml version="1.0" encoding="utf-8"?>
<ds:datastoreItem xmlns:ds="http://schemas.openxmlformats.org/officeDocument/2006/customXml" ds:itemID="{A228909D-145A-47AF-B407-9DB87468C22F}">
  <ds:schemaRefs/>
</ds:datastoreItem>
</file>

<file path=customXml/itemProps5.xml><?xml version="1.0" encoding="utf-8"?>
<ds:datastoreItem xmlns:ds="http://schemas.openxmlformats.org/officeDocument/2006/customXml" ds:itemID="{7F18FC2B-EB1D-4E33-8E3C-1652B8B38394}">
  <ds:schemaRefs/>
</ds:datastoreItem>
</file>

<file path=customXml/itemProps6.xml><?xml version="1.0" encoding="utf-8"?>
<ds:datastoreItem xmlns:ds="http://schemas.openxmlformats.org/officeDocument/2006/customXml" ds:itemID="{1E6AF695-E5A6-4637-A6B5-BB675A36A5EB}">
  <ds:schemaRefs/>
</ds:datastoreItem>
</file>

<file path=customXml/itemProps7.xml><?xml version="1.0" encoding="utf-8"?>
<ds:datastoreItem xmlns:ds="http://schemas.openxmlformats.org/officeDocument/2006/customXml" ds:itemID="{28C00B93-F25B-4ECE-95B7-FF2596DCC02D}">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15</Pages>
  <Words>4115</Words>
  <Characters>23462</Characters>
  <Lines>195</Lines>
  <Paragraphs>55</Paragraphs>
  <TotalTime>2</TotalTime>
  <ScaleCrop>false</ScaleCrop>
  <LinksUpToDate>false</LinksUpToDate>
  <CharactersWithSpaces>27522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2019-01-11T07:28:00Z</dcterms:created>
  <dc:creator>Linhai He</dc:creator>
  <cp:lastModifiedBy>00206166</cp:lastModifiedBy>
  <cp:lastPrinted>2017-03-22T23:13:00Z</cp:lastPrinted>
  <dcterms:modified xsi:type="dcterms:W3CDTF">2019-01-16T11:44:27Z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2052-10.8.2.7027</vt:lpwstr>
  </property>
</Properties>
</file>